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5EE62" w14:textId="51D02C97" w:rsidR="00401A22" w:rsidRPr="0056520D" w:rsidRDefault="00401A22" w:rsidP="00401A22">
      <w:pPr>
        <w:pStyle w:val="Header"/>
        <w:rPr>
          <w:lang w:val="de-DE"/>
        </w:rPr>
      </w:pPr>
      <w:bookmarkStart w:id="0" w:name="_GoBack"/>
      <w:bookmarkEnd w:id="0"/>
      <w:r w:rsidRPr="0056520D">
        <w:rPr>
          <w:lang w:val="de-DE"/>
        </w:rPr>
        <w:t>3GPP TSG-RAN WG1</w:t>
      </w:r>
      <w:r>
        <w:rPr>
          <w:lang w:val="de-DE"/>
        </w:rPr>
        <w:t xml:space="preserve"> </w:t>
      </w:r>
      <w:r>
        <w:t>Meeting 96</w:t>
      </w:r>
      <w:r>
        <w:tab/>
      </w:r>
      <w:r>
        <w:rPr>
          <w:lang w:val="de-DE"/>
        </w:rPr>
        <w:tab/>
      </w:r>
      <w:r w:rsidR="00837DFA">
        <w:rPr>
          <w:lang w:val="de-DE"/>
        </w:rPr>
        <w:t>R1-1902944</w:t>
      </w:r>
    </w:p>
    <w:p w14:paraId="0566E5AB" w14:textId="453F11F2" w:rsidR="00401A22" w:rsidRDefault="00401A22" w:rsidP="00401A22">
      <w:pPr>
        <w:pStyle w:val="Header"/>
        <w:rPr>
          <w:lang w:val="de-DE"/>
        </w:rPr>
      </w:pPr>
      <w:r>
        <w:rPr>
          <w:lang w:val="de-DE"/>
        </w:rPr>
        <w:t>Athens, Greece, February 25-March 1, 2019</w:t>
      </w:r>
    </w:p>
    <w:p w14:paraId="57859036" w14:textId="77777777" w:rsidR="00401A22" w:rsidRPr="000833FA" w:rsidRDefault="00401A22" w:rsidP="00401A22">
      <w:pPr>
        <w:pStyle w:val="Header"/>
      </w:pPr>
    </w:p>
    <w:p w14:paraId="39FA3F36" w14:textId="77777777" w:rsidR="00401A22" w:rsidRPr="0003368D" w:rsidRDefault="00401A22" w:rsidP="00401A22">
      <w:pPr>
        <w:pStyle w:val="Header"/>
        <w:tabs>
          <w:tab w:val="clear" w:pos="4536"/>
          <w:tab w:val="left" w:pos="1800"/>
        </w:tabs>
        <w:ind w:left="1800" w:hanging="1800"/>
      </w:pPr>
      <w:r w:rsidRPr="0003368D">
        <w:t>Source:</w:t>
      </w:r>
      <w:r w:rsidRPr="0003368D">
        <w:tab/>
        <w:t>Ericsson</w:t>
      </w:r>
    </w:p>
    <w:p w14:paraId="5057BB0E" w14:textId="77777777" w:rsidR="00401A22" w:rsidRPr="00E220C0" w:rsidRDefault="00401A22" w:rsidP="00401A22">
      <w:pPr>
        <w:pStyle w:val="Header"/>
        <w:tabs>
          <w:tab w:val="clear" w:pos="4536"/>
          <w:tab w:val="left" w:pos="1800"/>
        </w:tabs>
      </w:pPr>
      <w:r w:rsidRPr="0003368D">
        <w:t>Title:</w:t>
      </w:r>
      <w:bookmarkStart w:id="1" w:name="Title"/>
      <w:bookmarkEnd w:id="1"/>
      <w:r w:rsidRPr="0003368D">
        <w:tab/>
      </w:r>
      <w:r>
        <w:t>Cross-carrier scheduling with different numerologies</w:t>
      </w:r>
    </w:p>
    <w:p w14:paraId="50AFEA04" w14:textId="58F27DC9" w:rsidR="00401A22" w:rsidRPr="00E220C0" w:rsidRDefault="00401A22" w:rsidP="00401A22">
      <w:pPr>
        <w:pStyle w:val="Header"/>
        <w:tabs>
          <w:tab w:val="left" w:pos="1800"/>
        </w:tabs>
      </w:pPr>
      <w:r w:rsidRPr="00E220C0">
        <w:t>Agenda Item:</w:t>
      </w:r>
      <w:bookmarkStart w:id="2" w:name="Source"/>
      <w:bookmarkEnd w:id="2"/>
      <w:r w:rsidRPr="00E220C0">
        <w:tab/>
      </w:r>
      <w:r>
        <w:t>7.2.13.2</w:t>
      </w:r>
    </w:p>
    <w:p w14:paraId="07B184CE" w14:textId="77777777" w:rsidR="00401A22" w:rsidRPr="0003368D" w:rsidRDefault="00401A22" w:rsidP="00401A22">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0409526" w14:textId="77777777" w:rsidR="00401A22" w:rsidRPr="002100D2" w:rsidRDefault="00401A22" w:rsidP="00401A22">
      <w:pPr>
        <w:pBdr>
          <w:bottom w:val="single" w:sz="4" w:space="1" w:color="auto"/>
        </w:pBdr>
        <w:tabs>
          <w:tab w:val="left" w:pos="2552"/>
        </w:tabs>
      </w:pPr>
    </w:p>
    <w:p w14:paraId="08A6A322" w14:textId="77777777" w:rsidR="00401A22" w:rsidRDefault="00401A22" w:rsidP="00401A22">
      <w:pPr>
        <w:pStyle w:val="Heading1"/>
        <w:spacing w:before="180"/>
        <w:ind w:left="562" w:hanging="562"/>
      </w:pPr>
      <w:r>
        <w:t>Introduction</w:t>
      </w:r>
    </w:p>
    <w:p w14:paraId="7BCCF809" w14:textId="77777777" w:rsidR="00401A22" w:rsidRDefault="00401A22" w:rsidP="00401A22">
      <w:pPr>
        <w:pStyle w:val="BodyText"/>
        <w:rPr>
          <w:lang w:val="en-AU"/>
        </w:rPr>
      </w:pPr>
      <w:bookmarkStart w:id="4" w:name="_Ref178064866"/>
      <w:r>
        <w:rPr>
          <w:lang w:val="en-AU"/>
        </w:rPr>
        <w:t>In this document we discuss issues related to specification of cross-carrier scheduling with different numerologies.</w:t>
      </w:r>
    </w:p>
    <w:p w14:paraId="01546351" w14:textId="6CE140ED" w:rsidR="00401A22" w:rsidRDefault="00401A22" w:rsidP="00401A22">
      <w:pPr>
        <w:pStyle w:val="Heading1"/>
        <w:tabs>
          <w:tab w:val="clear" w:pos="3544"/>
        </w:tabs>
        <w:ind w:left="567"/>
      </w:pPr>
      <w:r>
        <w:t>Discussion</w:t>
      </w:r>
    </w:p>
    <w:p w14:paraId="48EC1854" w14:textId="106198A9" w:rsidR="00067A23" w:rsidRPr="00067A23" w:rsidRDefault="0045475F" w:rsidP="00067A23">
      <w:pPr>
        <w:pStyle w:val="BodyText"/>
      </w:pPr>
      <w:r>
        <w:t>We discuss</w:t>
      </w:r>
      <w:r w:rsidR="00BB500B">
        <w:t xml:space="preserve"> the following aspects: 1) K0 handling, 2) BD/CCE handling, 3) QCL aspect and 4) Number of valid unicast DCI per monitoring occasions</w:t>
      </w:r>
      <w:r w:rsidR="00271868">
        <w:t>.</w:t>
      </w:r>
    </w:p>
    <w:bookmarkEnd w:id="4"/>
    <w:p w14:paraId="07161369" w14:textId="05C54DD8" w:rsidR="00BB500B" w:rsidRPr="00BB500B" w:rsidRDefault="00BB500B" w:rsidP="00BB500B">
      <w:pPr>
        <w:pStyle w:val="BodyText"/>
        <w:rPr>
          <w:rFonts w:ascii="Helvetica" w:hAnsi="Helvetica" w:cs="Helvetica"/>
          <w:b/>
          <w:u w:val="single"/>
        </w:rPr>
      </w:pPr>
      <w:r w:rsidRPr="00BB500B">
        <w:rPr>
          <w:rFonts w:ascii="Helvetica" w:hAnsi="Helvetica" w:cs="Helvetica"/>
          <w:b/>
          <w:u w:val="single"/>
        </w:rPr>
        <w:t>2.1 K0 handling</w:t>
      </w:r>
    </w:p>
    <w:p w14:paraId="55388C49" w14:textId="77777777" w:rsidR="00401A22" w:rsidRDefault="00401A22" w:rsidP="00401A22">
      <w:pPr>
        <w:jc w:val="both"/>
      </w:pPr>
    </w:p>
    <w:p w14:paraId="3C40080A" w14:textId="245DE700" w:rsidR="004B5117" w:rsidRDefault="004B5117" w:rsidP="004B5117">
      <w:pPr>
        <w:jc w:val="both"/>
      </w:pPr>
      <w:r>
        <w:t xml:space="preserve">Regarding K0 handling, following </w:t>
      </w:r>
      <w:r w:rsidR="00DC4044">
        <w:t xml:space="preserve">conclusion </w:t>
      </w:r>
      <w:r>
        <w:t xml:space="preserve">was </w:t>
      </w:r>
      <w:r w:rsidR="00DC4044">
        <w:t>made</w:t>
      </w:r>
      <w:r>
        <w:t xml:space="preserve"> at the RAN1 AH meeting Jan 2019. </w:t>
      </w:r>
    </w:p>
    <w:p w14:paraId="1BFBE4A2" w14:textId="77777777" w:rsidR="004B5117" w:rsidRDefault="004B5117" w:rsidP="004B5117">
      <w:pPr>
        <w:jc w:val="both"/>
      </w:pPr>
    </w:p>
    <w:p w14:paraId="2F3D440B" w14:textId="77777777" w:rsidR="004B5117" w:rsidRPr="00DC4044" w:rsidRDefault="004B5117" w:rsidP="004B5117">
      <w:pPr>
        <w:rPr>
          <w:b/>
          <w:i/>
          <w:sz w:val="18"/>
          <w:szCs w:val="20"/>
        </w:rPr>
      </w:pPr>
      <w:r w:rsidRPr="00DC4044">
        <w:rPr>
          <w:b/>
          <w:i/>
          <w:sz w:val="18"/>
          <w:szCs w:val="20"/>
          <w:u w:val="single"/>
        </w:rPr>
        <w:t>Conclusion</w:t>
      </w:r>
      <w:r w:rsidRPr="00DC4044">
        <w:rPr>
          <w:b/>
          <w:i/>
          <w:sz w:val="18"/>
          <w:szCs w:val="20"/>
        </w:rPr>
        <w:t>:</w:t>
      </w:r>
    </w:p>
    <w:p w14:paraId="5C6835DC" w14:textId="77777777" w:rsidR="004B5117" w:rsidRPr="00DC4044" w:rsidRDefault="004B5117" w:rsidP="004B5117">
      <w:pPr>
        <w:ind w:left="284"/>
        <w:rPr>
          <w:i/>
          <w:sz w:val="18"/>
          <w:szCs w:val="20"/>
        </w:rPr>
      </w:pPr>
      <w:r w:rsidRPr="00DC4044">
        <w:rPr>
          <w:i/>
          <w:sz w:val="18"/>
          <w:szCs w:val="20"/>
        </w:rPr>
        <w:t>Study further at least the following:</w:t>
      </w:r>
    </w:p>
    <w:p w14:paraId="24E714B6" w14:textId="77777777" w:rsidR="004B5117" w:rsidRPr="00DC4044" w:rsidRDefault="004B5117" w:rsidP="004B5117">
      <w:pPr>
        <w:pStyle w:val="ListParagraph"/>
        <w:numPr>
          <w:ilvl w:val="0"/>
          <w:numId w:val="8"/>
        </w:numPr>
        <w:rPr>
          <w:i/>
          <w:sz w:val="18"/>
          <w:szCs w:val="20"/>
        </w:rPr>
      </w:pPr>
      <w:r w:rsidRPr="00DC4044">
        <w:rPr>
          <w:i/>
          <w:sz w:val="18"/>
          <w:szCs w:val="20"/>
        </w:rPr>
        <w:t>Determine the first possible PDSCH starting point based on the timing of the last or first symbol of the scheduling PDCCH.</w:t>
      </w:r>
    </w:p>
    <w:p w14:paraId="50125126" w14:textId="77777777" w:rsidR="004B5117" w:rsidRPr="00DC4044" w:rsidRDefault="004B5117" w:rsidP="004B5117">
      <w:pPr>
        <w:pStyle w:val="ListParagraph"/>
        <w:numPr>
          <w:ilvl w:val="0"/>
          <w:numId w:val="8"/>
        </w:numPr>
        <w:rPr>
          <w:i/>
          <w:sz w:val="18"/>
          <w:szCs w:val="20"/>
        </w:rPr>
      </w:pPr>
      <w:r w:rsidRPr="00DC4044">
        <w:rPr>
          <w:i/>
          <w:sz w:val="18"/>
          <w:szCs w:val="20"/>
        </w:rPr>
        <w:t>Both Type A and Type B PDSCH allocation should be considered</w:t>
      </w:r>
    </w:p>
    <w:p w14:paraId="69C00022" w14:textId="77777777" w:rsidR="004B5117" w:rsidRPr="00DC4044" w:rsidRDefault="004B5117" w:rsidP="004B5117">
      <w:pPr>
        <w:pStyle w:val="ListParagraph"/>
        <w:numPr>
          <w:ilvl w:val="1"/>
          <w:numId w:val="8"/>
        </w:numPr>
        <w:rPr>
          <w:i/>
          <w:sz w:val="18"/>
          <w:szCs w:val="20"/>
        </w:rPr>
      </w:pPr>
      <w:r w:rsidRPr="00DC4044">
        <w:rPr>
          <w:i/>
          <w:sz w:val="18"/>
          <w:szCs w:val="20"/>
        </w:rPr>
        <w:t>Consider a possibility for introducing a single solution for Type A and Type B PDSCH allocation</w:t>
      </w:r>
    </w:p>
    <w:p w14:paraId="05D216AF" w14:textId="77777777" w:rsidR="004B5117" w:rsidRPr="00DC4044" w:rsidRDefault="004B5117" w:rsidP="004B5117">
      <w:pPr>
        <w:pStyle w:val="ListParagraph"/>
        <w:numPr>
          <w:ilvl w:val="0"/>
          <w:numId w:val="8"/>
        </w:numPr>
        <w:rPr>
          <w:i/>
          <w:sz w:val="18"/>
          <w:szCs w:val="20"/>
        </w:rPr>
      </w:pPr>
      <w:r w:rsidRPr="00DC4044">
        <w:rPr>
          <w:i/>
          <w:sz w:val="18"/>
          <w:szCs w:val="20"/>
        </w:rPr>
        <w:t>PDCCH position cases 1-1, 1-2 and 2 should all be considered</w:t>
      </w:r>
    </w:p>
    <w:p w14:paraId="000086BA" w14:textId="77777777" w:rsidR="004B5117" w:rsidRDefault="004B5117" w:rsidP="004B5117">
      <w:pPr>
        <w:jc w:val="both"/>
      </w:pPr>
    </w:p>
    <w:p w14:paraId="3EE37C1C" w14:textId="48945FA8" w:rsidR="004B5117" w:rsidRDefault="00401A22" w:rsidP="004B5117">
      <w:pPr>
        <w:jc w:val="both"/>
      </w:pPr>
      <w:r>
        <w:t xml:space="preserve">For K0 handling with cross-carrier scheduling to address buffering requirements, a minimum k0 value for each combination of scheduling/scheduled cell numerology can be specified as discussed in RAN1#94 [2]. Two possible alternatives were mentioned in [2] which are shown in the Annex A. </w:t>
      </w:r>
    </w:p>
    <w:p w14:paraId="7F268B24" w14:textId="04B4DF7D" w:rsidR="008A71A9" w:rsidRDefault="008A71A9" w:rsidP="004B5117">
      <w:pPr>
        <w:jc w:val="both"/>
      </w:pPr>
    </w:p>
    <w:p w14:paraId="692D8CEF" w14:textId="4985C67A" w:rsidR="00837DFA" w:rsidRPr="00802CDD" w:rsidRDefault="00837DFA" w:rsidP="004B5117">
      <w:pPr>
        <w:jc w:val="both"/>
      </w:pPr>
      <w:r>
        <w:t>F</w:t>
      </w:r>
      <w:r w:rsidR="008A71A9">
        <w:t xml:space="preserve">or K0 handling, the main </w:t>
      </w:r>
      <w:r>
        <w:t>constraint</w:t>
      </w:r>
      <w:r w:rsidR="008A71A9">
        <w:t xml:space="preserve"> that determines the amount of buffering that UE needs to perform is the tim</w:t>
      </w:r>
      <w:r>
        <w:t>e</w:t>
      </w:r>
      <w:r w:rsidR="008A71A9">
        <w:t xml:space="preserve"> between end of PDCCH reception/processing and the start of PDSCH </w:t>
      </w:r>
      <w:r>
        <w:t>reception</w:t>
      </w:r>
      <w:r w:rsidR="008A71A9">
        <w:t xml:space="preserve">– </w:t>
      </w:r>
      <w:r>
        <w:t>therefore</w:t>
      </w:r>
      <w:r w:rsidR="008A71A9">
        <w:t xml:space="preserve">, </w:t>
      </w:r>
      <w:r>
        <w:t xml:space="preserve">the last symbol of the scheduling PDCCH should be used to determine </w:t>
      </w:r>
      <w:r w:rsidR="008A71A9">
        <w:t xml:space="preserve">the first possible PDSCH starting point. Otherwise, </w:t>
      </w:r>
      <w:r>
        <w:t xml:space="preserve">only using the </w:t>
      </w:r>
      <w:r w:rsidR="008A71A9">
        <w:t xml:space="preserve">first symbol of scheduling PDCCH </w:t>
      </w:r>
      <w:r>
        <w:t>as reference is insufficient as it will not factor in the Coreset duration which will be a significant factor contributing to the timing constraints</w:t>
      </w:r>
      <w:r w:rsidR="008A71A9">
        <w:t xml:space="preserve">. </w:t>
      </w:r>
      <w:r w:rsidR="00802CDD">
        <w:t xml:space="preserve">Therefore, </w:t>
      </w:r>
      <w:r w:rsidR="00802CDD" w:rsidRPr="00802CDD">
        <w:t>t</w:t>
      </w:r>
      <w:r w:rsidRPr="00802CDD">
        <w:t xml:space="preserve">he first possible PDSCH starting point </w:t>
      </w:r>
      <w:r w:rsidR="00802CDD" w:rsidRPr="00802CDD">
        <w:t>should be</w:t>
      </w:r>
      <w:r w:rsidRPr="00802CDD">
        <w:t xml:space="preserve"> based on the timing of the last symbol of the scheduling PDCCH.</w:t>
      </w:r>
    </w:p>
    <w:p w14:paraId="4F9957FA" w14:textId="77777777" w:rsidR="004B5117" w:rsidRDefault="004B5117" w:rsidP="004B5117">
      <w:pPr>
        <w:jc w:val="both"/>
      </w:pPr>
    </w:p>
    <w:p w14:paraId="756AA3EC" w14:textId="713D4819" w:rsidR="00401A22" w:rsidRDefault="00401A22" w:rsidP="00B10479">
      <w:pPr>
        <w:jc w:val="both"/>
      </w:pPr>
      <w:r>
        <w:t xml:space="preserve">The alternatives </w:t>
      </w:r>
      <w:r w:rsidR="004B5117">
        <w:t xml:space="preserve">in [2] </w:t>
      </w:r>
      <w:r>
        <w:t xml:space="preserve">were written assuming Case 1-1 PDCCH monitoring but should be </w:t>
      </w:r>
      <w:r w:rsidR="00B10479">
        <w:t>readily</w:t>
      </w:r>
      <w:r w:rsidR="004B5117">
        <w:t xml:space="preserve"> </w:t>
      </w:r>
      <w:r>
        <w:t>extend</w:t>
      </w:r>
      <w:r w:rsidR="004B5117">
        <w:t>able</w:t>
      </w:r>
      <w:r>
        <w:t xml:space="preserve"> to other cases of PDCCH monitoring (Case 1-2 and Case 2), by specifying the minimum separation that UE can expect between the end of PDCCH reception and the start of the corresponding PDSCH. This minimum separation is indicated as “margin” value shown in the tables in the Annex. </w:t>
      </w:r>
    </w:p>
    <w:p w14:paraId="30EF44FE" w14:textId="66369F9C" w:rsidR="004B5117" w:rsidRDefault="004B5117" w:rsidP="004B5117">
      <w:pPr>
        <w:jc w:val="both"/>
      </w:pPr>
    </w:p>
    <w:p w14:paraId="36873FFF" w14:textId="3A6AB878" w:rsidR="004B5117" w:rsidRDefault="004B5117" w:rsidP="004B5117">
      <w:pPr>
        <w:jc w:val="both"/>
      </w:pPr>
      <w:r>
        <w:t xml:space="preserve">With respect to Type-A and Type-B PDSCH allocations, Type-A PDSCH can (in Rel-15) begin earlier than corresponding PDCCH, while Type-B PDSCH can begin no earlier than corresponding PDSCH.  </w:t>
      </w:r>
      <w:r w:rsidRPr="00F132E8">
        <w:t xml:space="preserve">In case of overlap of PDCCH and </w:t>
      </w:r>
      <w:r w:rsidR="00B10479">
        <w:t xml:space="preserve">scheduled </w:t>
      </w:r>
      <w:r w:rsidRPr="00F132E8">
        <w:t>Type</w:t>
      </w:r>
      <w:r w:rsidR="00B10479">
        <w:t>-</w:t>
      </w:r>
      <w:r w:rsidRPr="00F132E8">
        <w:t xml:space="preserve">B PDSCH, </w:t>
      </w:r>
      <w:r w:rsidR="00B10479">
        <w:t>an additional</w:t>
      </w:r>
      <w:r>
        <w:t xml:space="preserve"> relaxation in </w:t>
      </w:r>
      <w:r w:rsidRPr="00F132E8">
        <w:t xml:space="preserve">processing time </w:t>
      </w:r>
      <w:r w:rsidR="008A71A9">
        <w:t xml:space="preserve">is allowed which </w:t>
      </w:r>
      <w:r w:rsidRPr="00F132E8">
        <w:t>is dependent on the amount of overlap (</w:t>
      </w:r>
      <w:r w:rsidR="00B10479">
        <w:t xml:space="preserve">i.e. number of overlapping symbols of </w:t>
      </w:r>
      <w:r w:rsidRPr="00F132E8">
        <w:t>PDSCH and PDCCH)</w:t>
      </w:r>
      <w:r w:rsidR="008A71A9">
        <w:t>. F</w:t>
      </w:r>
      <w:r w:rsidRPr="00F132E8">
        <w:t>or mixed numerology case</w:t>
      </w:r>
      <w:r w:rsidR="008A71A9">
        <w:t xml:space="preserve">, it is </w:t>
      </w:r>
      <w:r w:rsidR="00B10479">
        <w:t>s</w:t>
      </w:r>
      <w:r w:rsidR="008A71A9">
        <w:t>imple</w:t>
      </w:r>
      <w:r w:rsidR="00B10479">
        <w:t>r</w:t>
      </w:r>
      <w:r w:rsidR="008A71A9">
        <w:t xml:space="preserve"> if both Type-A and Type-B PDSCH allocations can be handled </w:t>
      </w:r>
      <w:r w:rsidR="00B10479">
        <w:t>with a single simple scheme</w:t>
      </w:r>
      <w:r w:rsidR="008A71A9">
        <w:t xml:space="preserve"> </w:t>
      </w:r>
      <w:r w:rsidR="00B10479">
        <w:t xml:space="preserve">that </w:t>
      </w:r>
      <w:r w:rsidR="00212783">
        <w:t>can avoid further modifications to</w:t>
      </w:r>
      <w:r w:rsidR="00B10479">
        <w:t xml:space="preserve"> processing times</w:t>
      </w:r>
      <w:r w:rsidR="008A71A9">
        <w:t>, etc.</w:t>
      </w:r>
      <w:r w:rsidRPr="00F132E8">
        <w:t xml:space="preserve"> Therefore, for </w:t>
      </w:r>
      <w:r w:rsidR="008A71A9">
        <w:t>cross-carrier scheduling with different numerologies</w:t>
      </w:r>
      <w:r w:rsidRPr="00F132E8">
        <w:t xml:space="preserve">, </w:t>
      </w:r>
      <w:r w:rsidR="00212783">
        <w:t>we propose that there is</w:t>
      </w:r>
      <w:r w:rsidRPr="00F132E8">
        <w:t xml:space="preserve"> no overlap</w:t>
      </w:r>
      <w:r w:rsidR="008A71A9">
        <w:t xml:space="preserve"> between PDCCH and corresponding PDSCH.</w:t>
      </w:r>
    </w:p>
    <w:p w14:paraId="212D7E0B" w14:textId="71C56943" w:rsidR="008A71A9" w:rsidRDefault="008A71A9" w:rsidP="004B5117">
      <w:pPr>
        <w:jc w:val="both"/>
      </w:pPr>
    </w:p>
    <w:p w14:paraId="3D6419BD" w14:textId="0FDD8E98" w:rsidR="008A71A9" w:rsidRDefault="008A71A9" w:rsidP="004B5117">
      <w:pPr>
        <w:jc w:val="both"/>
      </w:pPr>
      <w:r>
        <w:t xml:space="preserve">Based on the above, we propose the following regarding K0 handling: </w:t>
      </w:r>
    </w:p>
    <w:p w14:paraId="2CCDAB7F" w14:textId="77777777" w:rsidR="004B5117" w:rsidRDefault="004B5117" w:rsidP="004B5117">
      <w:pPr>
        <w:jc w:val="both"/>
      </w:pPr>
    </w:p>
    <w:p w14:paraId="2E181599" w14:textId="77777777" w:rsidR="00401A22" w:rsidRDefault="00401A22" w:rsidP="00837DFA">
      <w:pPr>
        <w:rPr>
          <w:b/>
          <w:u w:val="single"/>
        </w:rPr>
      </w:pPr>
      <w:r w:rsidRPr="0045475F">
        <w:rPr>
          <w:b/>
          <w:u w:val="single"/>
        </w:rPr>
        <w:t>Proposal 1</w:t>
      </w:r>
    </w:p>
    <w:p w14:paraId="6D0161C0" w14:textId="77777777" w:rsidR="00401A22" w:rsidRDefault="00401A22" w:rsidP="00401A22">
      <w:pPr>
        <w:ind w:left="360"/>
        <w:rPr>
          <w:b/>
          <w:u w:val="single"/>
        </w:rPr>
      </w:pPr>
    </w:p>
    <w:p w14:paraId="690FF46A" w14:textId="77777777" w:rsidR="00401A22" w:rsidRPr="00416ACC" w:rsidRDefault="00401A22" w:rsidP="00401A22">
      <w:pPr>
        <w:pStyle w:val="ListParagraph"/>
        <w:numPr>
          <w:ilvl w:val="0"/>
          <w:numId w:val="2"/>
        </w:numPr>
        <w:ind w:left="1080"/>
        <w:rPr>
          <w:b/>
          <w:u w:val="single"/>
        </w:rPr>
      </w:pPr>
      <w:r>
        <w:t>If a UE is configured with CIF, and if numerology of the scheduling cell is different from that of the scheduled cell, the UE is not expected to receive a PDSCH if the corresponding PDCCH DCI indicates k0&lt;X.</w:t>
      </w:r>
    </w:p>
    <w:p w14:paraId="2420757B" w14:textId="77777777" w:rsidR="00401A22" w:rsidRPr="00416ACC" w:rsidRDefault="00401A22" w:rsidP="00401A22">
      <w:pPr>
        <w:pStyle w:val="ListParagraph"/>
        <w:numPr>
          <w:ilvl w:val="1"/>
          <w:numId w:val="2"/>
        </w:numPr>
        <w:ind w:left="1800"/>
        <w:rPr>
          <w:b/>
          <w:u w:val="single"/>
        </w:rPr>
      </w:pPr>
      <w:r>
        <w:t>X depends on the numerology of the scheduling cell and the scheduled cell</w:t>
      </w:r>
    </w:p>
    <w:p w14:paraId="0C47A38A" w14:textId="77777777" w:rsidR="00401A22" w:rsidRPr="00F20221" w:rsidRDefault="00401A22" w:rsidP="00401A22">
      <w:pPr>
        <w:pStyle w:val="ListParagraph"/>
        <w:numPr>
          <w:ilvl w:val="0"/>
          <w:numId w:val="2"/>
        </w:numPr>
        <w:ind w:left="1080"/>
        <w:rPr>
          <w:b/>
          <w:u w:val="single"/>
        </w:rPr>
      </w:pPr>
      <w:r>
        <w:lastRenderedPageBreak/>
        <w:t>Select one of Alt1 or Alt2 from [2] for X.</w:t>
      </w:r>
    </w:p>
    <w:p w14:paraId="33598CEC" w14:textId="77777777" w:rsidR="00401A22" w:rsidRDefault="00401A22" w:rsidP="00401A22">
      <w:pPr>
        <w:jc w:val="both"/>
      </w:pPr>
    </w:p>
    <w:p w14:paraId="3F059DA1" w14:textId="652E71DF" w:rsidR="00F25AE2" w:rsidRPr="00BB500B" w:rsidRDefault="00BB500B" w:rsidP="00BB500B">
      <w:pPr>
        <w:pStyle w:val="BodyText"/>
        <w:rPr>
          <w:rFonts w:ascii="Helvetica" w:hAnsi="Helvetica" w:cs="Helvetica"/>
          <w:b/>
          <w:u w:val="single"/>
        </w:rPr>
      </w:pPr>
      <w:r>
        <w:rPr>
          <w:rFonts w:ascii="Helvetica" w:hAnsi="Helvetica" w:cs="Helvetica"/>
          <w:b/>
          <w:u w:val="single"/>
        </w:rPr>
        <w:t xml:space="preserve">2.2 </w:t>
      </w:r>
      <w:r w:rsidR="00F25AE2" w:rsidRPr="00BB500B">
        <w:rPr>
          <w:rFonts w:ascii="Helvetica" w:hAnsi="Helvetica" w:cs="Helvetica"/>
          <w:b/>
          <w:u w:val="single"/>
        </w:rPr>
        <w:t>BD/CCE handling</w:t>
      </w:r>
    </w:p>
    <w:p w14:paraId="5CF027E8" w14:textId="2C70C286" w:rsidR="00DD1CBB" w:rsidRDefault="00DD1CBB" w:rsidP="00401A22">
      <w:pPr>
        <w:rPr>
          <w:szCs w:val="20"/>
        </w:rPr>
      </w:pPr>
    </w:p>
    <w:p w14:paraId="6C7EACAC" w14:textId="76F1A47F" w:rsidR="00DD1CBB" w:rsidRDefault="00DD1CBB" w:rsidP="00401A22">
      <w:pPr>
        <w:rPr>
          <w:szCs w:val="20"/>
        </w:rPr>
      </w:pPr>
      <w:r>
        <w:rPr>
          <w:szCs w:val="20"/>
        </w:rPr>
        <w:t xml:space="preserve">The UE capability signaling with respect PDCCH BD/CCE capability is shown below (from 38.306, 15.4.0): </w:t>
      </w:r>
    </w:p>
    <w:p w14:paraId="22BEC193" w14:textId="0A80C16D" w:rsidR="00401A22" w:rsidRDefault="00401A22" w:rsidP="00401A22">
      <w:pPr>
        <w:jc w:val="both"/>
        <w:rPr>
          <w:szCs w:val="20"/>
        </w:rPr>
      </w:pPr>
    </w:p>
    <w:tbl>
      <w:tblPr>
        <w:tblW w:w="86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215"/>
        <w:gridCol w:w="637"/>
        <w:gridCol w:w="509"/>
        <w:gridCol w:w="637"/>
        <w:gridCol w:w="654"/>
      </w:tblGrid>
      <w:tr w:rsidR="00DD1CBB" w:rsidRPr="001F528E" w14:paraId="5386557E" w14:textId="77777777" w:rsidTr="00212783">
        <w:trPr>
          <w:cantSplit/>
          <w:trHeight w:val="522"/>
          <w:tblHeader/>
        </w:trPr>
        <w:tc>
          <w:tcPr>
            <w:tcW w:w="6215" w:type="dxa"/>
            <w:tcBorders>
              <w:top w:val="single" w:sz="4" w:space="0" w:color="808080"/>
              <w:left w:val="single" w:sz="4" w:space="0" w:color="808080"/>
              <w:bottom w:val="single" w:sz="4" w:space="0" w:color="808080"/>
              <w:right w:val="single" w:sz="4" w:space="0" w:color="808080"/>
            </w:tcBorders>
          </w:tcPr>
          <w:p w14:paraId="0A16D0C1" w14:textId="77777777" w:rsidR="00DD1CBB" w:rsidRPr="00DD1CBB" w:rsidRDefault="00DD1CBB" w:rsidP="00DD1CBB">
            <w:pPr>
              <w:pStyle w:val="TAL"/>
              <w:rPr>
                <w:b/>
                <w:i/>
              </w:rPr>
            </w:pPr>
            <w:r w:rsidRPr="00DD1CBB">
              <w:rPr>
                <w:b/>
                <w:i/>
              </w:rPr>
              <w:t>Definitions for parameters</w:t>
            </w:r>
          </w:p>
        </w:tc>
        <w:tc>
          <w:tcPr>
            <w:tcW w:w="637" w:type="dxa"/>
            <w:tcBorders>
              <w:top w:val="single" w:sz="4" w:space="0" w:color="808080"/>
              <w:left w:val="single" w:sz="4" w:space="0" w:color="808080"/>
              <w:bottom w:val="single" w:sz="4" w:space="0" w:color="808080"/>
              <w:right w:val="single" w:sz="4" w:space="0" w:color="808080"/>
            </w:tcBorders>
          </w:tcPr>
          <w:p w14:paraId="28532B65" w14:textId="77777777" w:rsidR="00DD1CBB" w:rsidRPr="001F528E" w:rsidRDefault="00DD1CBB" w:rsidP="00DD1CBB">
            <w:pPr>
              <w:pStyle w:val="TAL"/>
            </w:pPr>
            <w:r w:rsidRPr="001F528E">
              <w:t>Per</w:t>
            </w:r>
          </w:p>
        </w:tc>
        <w:tc>
          <w:tcPr>
            <w:tcW w:w="509" w:type="dxa"/>
            <w:tcBorders>
              <w:top w:val="single" w:sz="4" w:space="0" w:color="808080"/>
              <w:left w:val="single" w:sz="4" w:space="0" w:color="808080"/>
              <w:bottom w:val="single" w:sz="4" w:space="0" w:color="808080"/>
              <w:right w:val="single" w:sz="4" w:space="0" w:color="808080"/>
            </w:tcBorders>
          </w:tcPr>
          <w:p w14:paraId="19B48CC6" w14:textId="77777777" w:rsidR="00DD1CBB" w:rsidRPr="001F528E" w:rsidRDefault="00DD1CBB" w:rsidP="00DD1CBB">
            <w:pPr>
              <w:pStyle w:val="TAL"/>
            </w:pPr>
            <w:r w:rsidRPr="001F528E">
              <w:t>M</w:t>
            </w:r>
          </w:p>
        </w:tc>
        <w:tc>
          <w:tcPr>
            <w:tcW w:w="637" w:type="dxa"/>
            <w:tcBorders>
              <w:top w:val="single" w:sz="4" w:space="0" w:color="808080"/>
              <w:left w:val="single" w:sz="4" w:space="0" w:color="808080"/>
              <w:bottom w:val="single" w:sz="4" w:space="0" w:color="808080"/>
              <w:right w:val="single" w:sz="4" w:space="0" w:color="808080"/>
            </w:tcBorders>
          </w:tcPr>
          <w:p w14:paraId="3E893B8E" w14:textId="77777777" w:rsidR="00DD1CBB" w:rsidRPr="001F528E" w:rsidRDefault="00DD1CBB" w:rsidP="00DD1CBB">
            <w:pPr>
              <w:pStyle w:val="TAL"/>
            </w:pPr>
            <w:r w:rsidRPr="001F528E">
              <w:t>FDD</w:t>
            </w:r>
            <w:r>
              <w:t>-</w:t>
            </w:r>
            <w:r w:rsidRPr="001F528E">
              <w:t>TDD</w:t>
            </w:r>
          </w:p>
          <w:p w14:paraId="31BE9632" w14:textId="77777777" w:rsidR="00DD1CBB" w:rsidRPr="001F528E" w:rsidRDefault="00DD1CBB" w:rsidP="00DD1CBB">
            <w:pPr>
              <w:pStyle w:val="TAL"/>
            </w:pPr>
            <w:r w:rsidRPr="001F528E">
              <w:t>DIFF</w:t>
            </w:r>
          </w:p>
        </w:tc>
        <w:tc>
          <w:tcPr>
            <w:tcW w:w="654" w:type="dxa"/>
            <w:tcBorders>
              <w:top w:val="single" w:sz="4" w:space="0" w:color="808080"/>
              <w:left w:val="single" w:sz="4" w:space="0" w:color="808080"/>
              <w:bottom w:val="single" w:sz="4" w:space="0" w:color="808080"/>
              <w:right w:val="single" w:sz="4" w:space="0" w:color="808080"/>
            </w:tcBorders>
          </w:tcPr>
          <w:p w14:paraId="7794CD4F" w14:textId="77777777" w:rsidR="00DD1CBB" w:rsidRPr="001F528E" w:rsidRDefault="00DD1CBB" w:rsidP="00DD1CBB">
            <w:pPr>
              <w:pStyle w:val="TAL"/>
            </w:pPr>
            <w:r w:rsidRPr="001F528E">
              <w:t>FR1</w:t>
            </w:r>
            <w:r>
              <w:t>-</w:t>
            </w:r>
            <w:r w:rsidRPr="001F528E">
              <w:t>FR2</w:t>
            </w:r>
          </w:p>
          <w:p w14:paraId="2295450A" w14:textId="77777777" w:rsidR="00DD1CBB" w:rsidRPr="001F528E" w:rsidRDefault="00DD1CBB" w:rsidP="00DD1CBB">
            <w:pPr>
              <w:pStyle w:val="TAL"/>
            </w:pPr>
            <w:r w:rsidRPr="001F528E">
              <w:t>DIFF</w:t>
            </w:r>
          </w:p>
        </w:tc>
      </w:tr>
      <w:tr w:rsidR="00DD1CBB" w:rsidRPr="001F528E" w14:paraId="55A21923" w14:textId="77777777" w:rsidTr="00212783">
        <w:trPr>
          <w:cantSplit/>
          <w:trHeight w:val="533"/>
          <w:tblHeader/>
        </w:trPr>
        <w:tc>
          <w:tcPr>
            <w:tcW w:w="6215" w:type="dxa"/>
          </w:tcPr>
          <w:p w14:paraId="1C4FDC89" w14:textId="77777777" w:rsidR="00DD1CBB" w:rsidRPr="001F528E" w:rsidRDefault="00DD1CBB" w:rsidP="00030948">
            <w:pPr>
              <w:pStyle w:val="TAL"/>
              <w:rPr>
                <w:b/>
                <w:i/>
              </w:rPr>
            </w:pPr>
            <w:proofErr w:type="spellStart"/>
            <w:r w:rsidRPr="001F528E">
              <w:rPr>
                <w:b/>
                <w:i/>
              </w:rPr>
              <w:t>pdcch-BlindDetectionCA</w:t>
            </w:r>
            <w:proofErr w:type="spellEnd"/>
          </w:p>
          <w:p w14:paraId="3ECC3EA0" w14:textId="77777777" w:rsidR="00DD1CBB" w:rsidRPr="001F528E" w:rsidRDefault="00DD1CBB" w:rsidP="00030948">
            <w:pPr>
              <w:pStyle w:val="TAL"/>
            </w:pPr>
            <w:r w:rsidRPr="001F528E">
              <w:t>Indicates PDCCH blind decoding capabilities supported by the UE for CA with more than 4 CCs as specified in TS 38.213 [11]. The field value is from 4 to 16.</w:t>
            </w:r>
          </w:p>
        </w:tc>
        <w:tc>
          <w:tcPr>
            <w:tcW w:w="637" w:type="dxa"/>
          </w:tcPr>
          <w:p w14:paraId="3C8B4536" w14:textId="77777777" w:rsidR="00DD1CBB" w:rsidRPr="001F528E" w:rsidRDefault="00DD1CBB" w:rsidP="00030948">
            <w:pPr>
              <w:pStyle w:val="TAL"/>
              <w:jc w:val="center"/>
            </w:pPr>
            <w:r w:rsidRPr="001F528E">
              <w:t>UE</w:t>
            </w:r>
          </w:p>
        </w:tc>
        <w:tc>
          <w:tcPr>
            <w:tcW w:w="509" w:type="dxa"/>
          </w:tcPr>
          <w:p w14:paraId="45EAEE3A" w14:textId="77777777" w:rsidR="00DD1CBB" w:rsidRPr="001F528E" w:rsidRDefault="00DD1CBB" w:rsidP="00030948">
            <w:pPr>
              <w:pStyle w:val="TAL"/>
              <w:jc w:val="center"/>
            </w:pPr>
            <w:proofErr w:type="spellStart"/>
            <w:r w:rsidRPr="001F528E">
              <w:t>Tbd</w:t>
            </w:r>
            <w:proofErr w:type="spellEnd"/>
          </w:p>
        </w:tc>
        <w:tc>
          <w:tcPr>
            <w:tcW w:w="637" w:type="dxa"/>
          </w:tcPr>
          <w:p w14:paraId="60C1F718" w14:textId="77777777" w:rsidR="00DD1CBB" w:rsidRPr="001F528E" w:rsidRDefault="00DD1CBB" w:rsidP="00030948">
            <w:pPr>
              <w:pStyle w:val="TAL"/>
              <w:jc w:val="center"/>
            </w:pPr>
            <w:r w:rsidRPr="001F528E">
              <w:t>No</w:t>
            </w:r>
          </w:p>
        </w:tc>
        <w:tc>
          <w:tcPr>
            <w:tcW w:w="654" w:type="dxa"/>
          </w:tcPr>
          <w:p w14:paraId="0C312D43" w14:textId="77777777" w:rsidR="00DD1CBB" w:rsidRPr="001F528E" w:rsidRDefault="00DD1CBB" w:rsidP="00030948">
            <w:pPr>
              <w:pStyle w:val="TAL"/>
              <w:jc w:val="center"/>
            </w:pPr>
            <w:r w:rsidRPr="001F528E">
              <w:t>Yes</w:t>
            </w:r>
          </w:p>
        </w:tc>
      </w:tr>
    </w:tbl>
    <w:p w14:paraId="7FD4A877" w14:textId="77777777" w:rsidR="00DD1CBB" w:rsidRDefault="00DD1CBB" w:rsidP="00401A22">
      <w:pPr>
        <w:jc w:val="both"/>
        <w:rPr>
          <w:szCs w:val="20"/>
        </w:rPr>
      </w:pPr>
    </w:p>
    <w:p w14:paraId="1BDF19C4" w14:textId="56530277" w:rsidR="008507EC" w:rsidRDefault="00DD1CBB" w:rsidP="00401A22">
      <w:pPr>
        <w:jc w:val="both"/>
        <w:rPr>
          <w:rFonts w:cs="Arial"/>
        </w:rPr>
      </w:pPr>
      <w:r w:rsidRPr="00516DCD">
        <w:rPr>
          <w:rFonts w:cs="Arial"/>
        </w:rPr>
        <w:t>According to RAN2 specifications based on RAN1 UE FG 6-5a, the UE can report two capability values, one for FR1 and one for FR2.</w:t>
      </w:r>
      <w:r>
        <w:rPr>
          <w:rFonts w:cs="Arial"/>
        </w:rPr>
        <w:t xml:space="preserve"> Given this, along with the partitioning mechanism of PDCCH BD/CCE, it is also necessary to apply the </w:t>
      </w:r>
      <w:r w:rsidR="00B41657">
        <w:rPr>
          <w:rFonts w:cs="Arial"/>
        </w:rPr>
        <w:t>appropriate</w:t>
      </w:r>
      <w:r>
        <w:rPr>
          <w:rFonts w:cs="Arial"/>
        </w:rPr>
        <w:t xml:space="preserve"> parameter valu</w:t>
      </w:r>
      <w:r w:rsidR="00B41657">
        <w:rPr>
          <w:rFonts w:cs="Arial"/>
        </w:rPr>
        <w:t>e</w:t>
      </w:r>
      <w:r w:rsidR="001A4FB9">
        <w:rPr>
          <w:rFonts w:cs="Arial"/>
        </w:rPr>
        <w:t>, depending on the fr</w:t>
      </w:r>
      <w:r w:rsidR="00DF7F94">
        <w:rPr>
          <w:rFonts w:cs="Arial"/>
        </w:rPr>
        <w:t>equency range</w:t>
      </w:r>
      <w:r w:rsidR="008507EC">
        <w:rPr>
          <w:rFonts w:cs="Arial"/>
        </w:rPr>
        <w:t xml:space="preserve">. Then, with cross-carrier scheduling with mixed numerology, then the total BD budget for scheduling CC in a frequency range should be based </w:t>
      </w:r>
      <w:r w:rsidR="00212783">
        <w:rPr>
          <w:rFonts w:cs="Arial"/>
        </w:rPr>
        <w:t>on:</w:t>
      </w:r>
    </w:p>
    <w:p w14:paraId="413658C0" w14:textId="34576C44" w:rsidR="008507EC" w:rsidRDefault="008507EC" w:rsidP="008507EC">
      <w:pPr>
        <w:pStyle w:val="ListParagraph"/>
        <w:numPr>
          <w:ilvl w:val="0"/>
          <w:numId w:val="17"/>
        </w:numPr>
        <w:jc w:val="both"/>
        <w:rPr>
          <w:rFonts w:cs="Arial"/>
        </w:rPr>
      </w:pPr>
      <w:r>
        <w:rPr>
          <w:rFonts w:cs="Arial"/>
        </w:rPr>
        <w:t xml:space="preserve">Corresponding </w:t>
      </w:r>
      <w:r w:rsidRPr="001E27DD">
        <w:rPr>
          <w:rFonts w:cs="Arial"/>
        </w:rPr>
        <w:t>BD/CCE capability for the frequency range</w:t>
      </w:r>
    </w:p>
    <w:p w14:paraId="3BCC0A4F" w14:textId="3A0E14EC" w:rsidR="00DD1CBB" w:rsidRDefault="008507EC" w:rsidP="008507EC">
      <w:pPr>
        <w:pStyle w:val="ListParagraph"/>
        <w:numPr>
          <w:ilvl w:val="0"/>
          <w:numId w:val="17"/>
        </w:numPr>
        <w:jc w:val="both"/>
        <w:rPr>
          <w:rFonts w:cs="Arial"/>
        </w:rPr>
      </w:pPr>
      <w:r>
        <w:rPr>
          <w:rFonts w:cs="Arial"/>
        </w:rPr>
        <w:t>T</w:t>
      </w:r>
      <w:r w:rsidRPr="001E27DD">
        <w:rPr>
          <w:rFonts w:cs="Arial"/>
        </w:rPr>
        <w:t>otal number of schedulable CCs from that frequency range.</w:t>
      </w:r>
    </w:p>
    <w:p w14:paraId="42F0211B" w14:textId="4504C19D" w:rsidR="008507EC" w:rsidRDefault="008507EC" w:rsidP="008507EC">
      <w:pPr>
        <w:jc w:val="both"/>
        <w:rPr>
          <w:rFonts w:cs="Arial"/>
        </w:rPr>
      </w:pPr>
    </w:p>
    <w:p w14:paraId="62848D3C" w14:textId="7FBF4B31" w:rsidR="008507EC" w:rsidRDefault="008507EC" w:rsidP="008507EC">
      <w:pPr>
        <w:jc w:val="both"/>
        <w:rPr>
          <w:rFonts w:cs="Arial"/>
        </w:rPr>
      </w:pPr>
      <w:r>
        <w:rPr>
          <w:rFonts w:cs="Arial"/>
        </w:rPr>
        <w:t>In Rel-15, with self-scheduling and mixed numerology, and cross-carrier scheduling with</w:t>
      </w:r>
      <w:r w:rsidR="005F1F51">
        <w:rPr>
          <w:rFonts w:cs="Arial"/>
        </w:rPr>
        <w:t xml:space="preserve"> same numerology between scheduling and scheduled cells, the BD/CCE partitioning is done according to numerologies of CC, with limits on per-numerology maximum BD/CCE limit, and a per-cell maximum BD/CCE limit.</w:t>
      </w:r>
    </w:p>
    <w:p w14:paraId="68B48E02" w14:textId="71B8E2A0" w:rsidR="005F1F51" w:rsidRDefault="005F1F51" w:rsidP="008507EC">
      <w:pPr>
        <w:jc w:val="both"/>
        <w:rPr>
          <w:rFonts w:cs="Arial"/>
        </w:rPr>
      </w:pPr>
    </w:p>
    <w:p w14:paraId="5CDB16A6" w14:textId="1E577C22" w:rsidR="005F1F51" w:rsidRPr="001E27DD" w:rsidRDefault="005F1F51" w:rsidP="001E27DD">
      <w:pPr>
        <w:jc w:val="both"/>
        <w:rPr>
          <w:rFonts w:cs="Arial"/>
        </w:rPr>
      </w:pPr>
      <w:r>
        <w:rPr>
          <w:rFonts w:cs="Arial"/>
        </w:rPr>
        <w:t xml:space="preserve">For Rel-16, with cross-carrier scheduling and mixed numerology, we propose the Rel-15 principle </w:t>
      </w:r>
      <w:r w:rsidR="00212783">
        <w:rPr>
          <w:rFonts w:cs="Arial"/>
        </w:rPr>
        <w:t>is</w:t>
      </w:r>
      <w:r>
        <w:rPr>
          <w:rFonts w:cs="Arial"/>
        </w:rPr>
        <w:t xml:space="preserve"> extended by partitioning </w:t>
      </w:r>
      <w:r w:rsidRPr="005F1F51">
        <w:rPr>
          <w:rFonts w:cs="Arial"/>
        </w:rPr>
        <w:t xml:space="preserve">according to </w:t>
      </w:r>
      <w:r>
        <w:rPr>
          <w:rFonts w:cs="Arial"/>
        </w:rPr>
        <w:t xml:space="preserve">the numerology pair (i.e. (scheduling </w:t>
      </w:r>
      <w:r w:rsidRPr="005F1F51">
        <w:rPr>
          <w:rFonts w:cs="Arial"/>
        </w:rPr>
        <w:t>CC</w:t>
      </w:r>
      <w:r>
        <w:rPr>
          <w:rFonts w:cs="Arial"/>
        </w:rPr>
        <w:t xml:space="preserve"> numerology, scheduled </w:t>
      </w:r>
      <w:r w:rsidRPr="005F1F51">
        <w:rPr>
          <w:rFonts w:cs="Arial"/>
        </w:rPr>
        <w:t>CC</w:t>
      </w:r>
      <w:r>
        <w:rPr>
          <w:rFonts w:cs="Arial"/>
        </w:rPr>
        <w:t xml:space="preserve"> numerology))</w:t>
      </w:r>
      <w:r w:rsidRPr="005F1F51">
        <w:rPr>
          <w:rFonts w:cs="Arial"/>
        </w:rPr>
        <w:t xml:space="preserve">, with limits on per-numerology </w:t>
      </w:r>
      <w:r>
        <w:rPr>
          <w:rFonts w:cs="Arial"/>
        </w:rPr>
        <w:t xml:space="preserve">pair </w:t>
      </w:r>
      <w:r w:rsidRPr="005F1F51">
        <w:rPr>
          <w:rFonts w:cs="Arial"/>
        </w:rPr>
        <w:t>maximum BD/CCE limit, and a per-cell maximum BD/CCE limit.</w:t>
      </w:r>
    </w:p>
    <w:p w14:paraId="1784206E" w14:textId="77777777" w:rsidR="00ED0AA2" w:rsidRDefault="00ED0AA2" w:rsidP="00401A22">
      <w:pPr>
        <w:jc w:val="both"/>
        <w:rPr>
          <w:rFonts w:cs="Arial"/>
        </w:rPr>
      </w:pPr>
    </w:p>
    <w:p w14:paraId="1FB91E82" w14:textId="170B544A" w:rsidR="00A94940" w:rsidRDefault="00ED0AA2" w:rsidP="006E544F">
      <w:pPr>
        <w:jc w:val="both"/>
        <w:rPr>
          <w:rFonts w:cs="Arial"/>
        </w:rPr>
      </w:pPr>
      <w:r>
        <w:rPr>
          <w:rFonts w:cs="Arial"/>
        </w:rPr>
        <w:t xml:space="preserve">The principle is described </w:t>
      </w:r>
      <w:r w:rsidR="006E544F">
        <w:rPr>
          <w:rFonts w:cs="Arial"/>
        </w:rPr>
        <w:t xml:space="preserve">in the proposal below, and </w:t>
      </w:r>
      <w:r w:rsidR="00FB2FE4">
        <w:rPr>
          <w:rFonts w:cs="Arial"/>
        </w:rPr>
        <w:t>an example in Figure 1</w:t>
      </w:r>
      <w:r w:rsidR="0065116D">
        <w:rPr>
          <w:rFonts w:cs="Arial"/>
        </w:rPr>
        <w:t xml:space="preserve"> with ten CCs and with cross-carrier scheduling between CCs of different numerologies. </w:t>
      </w:r>
      <w:r w:rsidR="006E544F">
        <w:rPr>
          <w:rFonts w:cs="Arial"/>
        </w:rPr>
        <w:t>N</w:t>
      </w:r>
      <w:r w:rsidR="006E544F" w:rsidRPr="006E544F">
        <w:rPr>
          <w:rFonts w:cs="Arial"/>
        </w:rPr>
        <w:t>ote that instead of scaling (2</w:t>
      </w:r>
      <w:r w:rsidR="006E544F" w:rsidRPr="006E544F">
        <w:rPr>
          <w:rFonts w:cs="Arial"/>
          <w:vertAlign w:val="superscript"/>
        </w:rPr>
        <w:t>i</w:t>
      </w:r>
      <w:r w:rsidR="006E544F" w:rsidRPr="006E544F">
        <w:rPr>
          <w:rFonts w:cs="Arial"/>
        </w:rPr>
        <w:t>/2</w:t>
      </w:r>
      <w:r w:rsidR="006E544F" w:rsidRPr="006E544F">
        <w:rPr>
          <w:rFonts w:cs="Arial"/>
          <w:vertAlign w:val="superscript"/>
        </w:rPr>
        <w:t>j</w:t>
      </w:r>
      <w:r w:rsidR="006E544F" w:rsidRPr="006E544F">
        <w:rPr>
          <w:rFonts w:cs="Arial"/>
        </w:rPr>
        <w:t xml:space="preserve">) and scheduled cell BD/CCE limit for non-CA case, other alternatives where the scheduling cell BD/CCE limit for non-CA case </w:t>
      </w:r>
      <w:r w:rsidR="006E544F">
        <w:rPr>
          <w:rFonts w:cs="Arial"/>
        </w:rPr>
        <w:t>are also possible</w:t>
      </w:r>
      <w:r w:rsidR="006E544F" w:rsidRPr="006E544F">
        <w:rPr>
          <w:rFonts w:cs="Arial"/>
        </w:rPr>
        <w:t xml:space="preserve">. However, we think </w:t>
      </w:r>
      <w:r w:rsidR="006E544F">
        <w:rPr>
          <w:rFonts w:cs="Arial"/>
        </w:rPr>
        <w:t xml:space="preserve">this </w:t>
      </w:r>
      <w:r w:rsidR="006E544F" w:rsidRPr="006E544F">
        <w:rPr>
          <w:rFonts w:cs="Arial"/>
        </w:rPr>
        <w:t>proposal maintains the Rel-15 principle, while also allowing enough flexibility in scheduling of CCs of higher numerology from lower numerology scheduling cells.</w:t>
      </w:r>
    </w:p>
    <w:p w14:paraId="2185972D" w14:textId="77777777" w:rsidR="00FE473B" w:rsidRDefault="00FE473B" w:rsidP="001E27DD">
      <w:pPr>
        <w:rPr>
          <w:rFonts w:cs="Arial"/>
        </w:rPr>
      </w:pPr>
    </w:p>
    <w:p w14:paraId="19937CEA" w14:textId="77777777" w:rsidR="00FB2FE4" w:rsidRDefault="00FB2FE4" w:rsidP="001E27DD">
      <w:pPr>
        <w:keepNext/>
        <w:jc w:val="center"/>
      </w:pPr>
      <w:r>
        <w:rPr>
          <w:noProof/>
          <w:szCs w:val="20"/>
        </w:rPr>
        <w:drawing>
          <wp:inline distT="0" distB="0" distL="0" distR="0" wp14:anchorId="59E5670B" wp14:editId="668E45E1">
            <wp:extent cx="3785616" cy="219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85616" cy="2194560"/>
                    </a:xfrm>
                    <a:prstGeom prst="rect">
                      <a:avLst/>
                    </a:prstGeom>
                    <a:noFill/>
                  </pic:spPr>
                </pic:pic>
              </a:graphicData>
            </a:graphic>
          </wp:inline>
        </w:drawing>
      </w:r>
    </w:p>
    <w:p w14:paraId="7AD5CFE9" w14:textId="39D61E48" w:rsidR="00B41657" w:rsidRDefault="00FB2FE4" w:rsidP="001E27DD">
      <w:pPr>
        <w:pStyle w:val="Caption"/>
        <w:jc w:val="center"/>
        <w:rPr>
          <w:szCs w:val="20"/>
        </w:rPr>
      </w:pPr>
      <w:r>
        <w:t xml:space="preserve">Figure </w:t>
      </w:r>
      <w:r w:rsidR="004477A9">
        <w:rPr>
          <w:noProof/>
        </w:rPr>
        <w:fldChar w:fldCharType="begin"/>
      </w:r>
      <w:r w:rsidR="004477A9">
        <w:rPr>
          <w:noProof/>
        </w:rPr>
        <w:instrText xml:space="preserve"> SEQ Figure \* ARABIC </w:instrText>
      </w:r>
      <w:r w:rsidR="004477A9">
        <w:rPr>
          <w:noProof/>
        </w:rPr>
        <w:fldChar w:fldCharType="separate"/>
      </w:r>
      <w:r>
        <w:rPr>
          <w:noProof/>
        </w:rPr>
        <w:t>1</w:t>
      </w:r>
      <w:r w:rsidR="004477A9">
        <w:rPr>
          <w:noProof/>
        </w:rPr>
        <w:fldChar w:fldCharType="end"/>
      </w:r>
      <w:r>
        <w:t>. Example BD partitioning for cross-carrier scheduling with mixed numerology.</w:t>
      </w:r>
    </w:p>
    <w:p w14:paraId="3CB8813C" w14:textId="77777777" w:rsidR="00401A22" w:rsidRDefault="00401A22" w:rsidP="00401A22">
      <w:pPr>
        <w:jc w:val="both"/>
        <w:rPr>
          <w:rFonts w:ascii="Arial" w:hAnsi="Arial" w:cs="Arial"/>
        </w:rPr>
      </w:pPr>
    </w:p>
    <w:p w14:paraId="0D42ABCC" w14:textId="77777777" w:rsidR="00401A22" w:rsidRDefault="00401A22" w:rsidP="0045475F">
      <w:pPr>
        <w:jc w:val="both"/>
        <w:rPr>
          <w:b/>
          <w:u w:val="single"/>
        </w:rPr>
      </w:pPr>
      <w:r w:rsidRPr="0045475F">
        <w:rPr>
          <w:b/>
          <w:u w:val="single"/>
        </w:rPr>
        <w:t>Proposal 2</w:t>
      </w:r>
    </w:p>
    <w:p w14:paraId="51C57225" w14:textId="77777777" w:rsidR="00401A22" w:rsidRDefault="00401A22" w:rsidP="00401A22">
      <w:pPr>
        <w:ind w:left="360"/>
        <w:jc w:val="both"/>
        <w:rPr>
          <w:rFonts w:cs="Arial"/>
        </w:rPr>
      </w:pPr>
    </w:p>
    <w:p w14:paraId="3741A716" w14:textId="77777777" w:rsidR="00212783" w:rsidRPr="001E27DD" w:rsidRDefault="00212783" w:rsidP="00212783">
      <w:pPr>
        <w:pStyle w:val="ListParagraph"/>
        <w:numPr>
          <w:ilvl w:val="0"/>
          <w:numId w:val="21"/>
        </w:numPr>
        <w:jc w:val="both"/>
      </w:pPr>
      <w:r>
        <w:t xml:space="preserve">For cross-carrier scheduling with different numerologies with BD/CCE capability Y for a frequency range, the limit of BDs/CCEs per slot of the scheduling CC(s) (with numerology </w:t>
      </w:r>
      <w:r w:rsidRPr="00212783">
        <w:rPr>
          <w:b/>
          <w:bCs/>
          <w:i/>
          <w:iCs/>
        </w:rPr>
        <w:t>j)</w:t>
      </w:r>
      <w:r>
        <w:t xml:space="preserve"> belonging to the frequency range for scheduled CC(s) with numerology </w:t>
      </w:r>
      <m:oMath>
        <m:r>
          <m:rPr>
            <m:sty m:val="bi"/>
          </m:rPr>
          <w:rPr>
            <w:rFonts w:ascii="Cambria Math" w:hAnsi="Cambria Math"/>
          </w:rPr>
          <m:t xml:space="preserve">i </m:t>
        </m:r>
      </m:oMath>
      <w:r w:rsidRPr="00212783">
        <w:rPr>
          <w:szCs w:val="20"/>
        </w:rPr>
        <w:t xml:space="preserve">is given by </w:t>
      </w:r>
    </w:p>
    <w:p w14:paraId="6CB3D3FA" w14:textId="77777777" w:rsidR="00212783" w:rsidRPr="001E27DD" w:rsidRDefault="00C66BD9" w:rsidP="00212783">
      <w:pPr>
        <w:pStyle w:val="ListParagraph"/>
        <w:numPr>
          <w:ilvl w:val="0"/>
          <w:numId w:val="18"/>
        </w:numPr>
        <w:ind w:left="1440"/>
        <w:jc w:val="both"/>
        <w:rPr>
          <w:szCs w:val="20"/>
        </w:rPr>
      </w:pPr>
      <m:oMath>
        <m:d>
          <m:dPr>
            <m:ctrlPr>
              <w:rPr>
                <w:rFonts w:ascii="Cambria Math" w:hAnsi="Cambria Math" w:cs="Calibri"/>
                <w:i/>
                <w:iCs/>
                <w:sz w:val="22"/>
                <w:szCs w:val="22"/>
              </w:rPr>
            </m:ctrlPr>
          </m:dPr>
          <m:e>
            <m:f>
              <m:fPr>
                <m:ctrlPr>
                  <w:rPr>
                    <w:rFonts w:ascii="Cambria Math" w:hAnsi="Cambria Math" w:cs="Calibri"/>
                    <w:sz w:val="22"/>
                    <w:szCs w:val="22"/>
                  </w:rPr>
                </m:ctrlPr>
              </m:fPr>
              <m:num>
                <m:sSup>
                  <m:sSupPr>
                    <m:ctrlPr>
                      <w:rPr>
                        <w:rFonts w:ascii="Cambria Math" w:hAnsi="Cambria Math" w:cs="Calibri"/>
                        <w:sz w:val="22"/>
                        <w:szCs w:val="22"/>
                      </w:rPr>
                    </m:ctrlPr>
                  </m:sSupPr>
                  <m:e>
                    <m:r>
                      <m:rPr>
                        <m:sty m:val="b"/>
                      </m:rPr>
                      <w:rPr>
                        <w:rFonts w:ascii="Cambria Math" w:hAnsi="Cambria Math"/>
                      </w:rPr>
                      <m:t>2</m:t>
                    </m:r>
                  </m:e>
                  <m:sup>
                    <m:r>
                      <m:rPr>
                        <m:sty m:val="bi"/>
                      </m:rPr>
                      <w:rPr>
                        <w:rFonts w:ascii="Cambria Math" w:hAnsi="Cambria Math"/>
                      </w:rPr>
                      <m:t>i</m:t>
                    </m:r>
                  </m:sup>
                </m:sSup>
              </m:num>
              <m:den>
                <m:sSup>
                  <m:sSupPr>
                    <m:ctrlPr>
                      <w:rPr>
                        <w:rFonts w:ascii="Cambria Math" w:hAnsi="Cambria Math" w:cs="Calibri"/>
                        <w:sz w:val="22"/>
                        <w:szCs w:val="22"/>
                      </w:rPr>
                    </m:ctrlPr>
                  </m:sSupPr>
                  <m:e>
                    <m:r>
                      <m:rPr>
                        <m:sty m:val="b"/>
                      </m:rPr>
                      <w:rPr>
                        <w:rFonts w:ascii="Cambria Math" w:hAnsi="Cambria Math"/>
                      </w:rPr>
                      <m:t>2</m:t>
                    </m:r>
                  </m:e>
                  <m:sup>
                    <m:r>
                      <w:rPr>
                        <w:rFonts w:ascii="Cambria Math" w:hAnsi="Cambria Math" w:cs="Calibri"/>
                        <w:sz w:val="22"/>
                        <w:szCs w:val="22"/>
                      </w:rPr>
                      <m:t>j</m:t>
                    </m:r>
                  </m:sup>
                </m:sSup>
              </m:den>
            </m:f>
            <m:r>
              <w:rPr>
                <w:rFonts w:ascii="Cambria Math" w:hAnsi="Cambria Math" w:cs="Calibri"/>
                <w:sz w:val="22"/>
                <w:szCs w:val="22"/>
              </w:rPr>
              <m:t>*</m:t>
            </m:r>
            <m:sSub>
              <m:sSubPr>
                <m:ctrlPr>
                  <w:rPr>
                    <w:rFonts w:ascii="Cambria Math" w:hAnsi="Cambria Math" w:cs="Calibri"/>
                    <w:i/>
                    <w:iCs/>
                    <w:sz w:val="22"/>
                    <w:szCs w:val="22"/>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cs="Calibri"/>
                    <w:i/>
                    <w:iCs/>
                    <w:sz w:val="22"/>
                    <w:szCs w:val="22"/>
                  </w:rPr>
                </m:ctrlPr>
              </m:sSubPr>
              <m:e>
                <m:r>
                  <m:rPr>
                    <m:sty m:val="bi"/>
                  </m:rPr>
                  <w:rPr>
                    <w:rFonts w:ascii="Cambria Math" w:hAnsi="Cambria Math"/>
                  </w:rPr>
                  <m:t>N</m:t>
                </m:r>
              </m:e>
              <m:sub>
                <m:r>
                  <m:rPr>
                    <m:sty m:val="bi"/>
                  </m:rPr>
                  <w:rPr>
                    <w:rFonts w:ascii="Cambria Math" w:hAnsi="Cambria Math"/>
                  </w:rPr>
                  <m:t>i</m:t>
                </m:r>
              </m:sub>
            </m:sSub>
          </m:e>
        </m:d>
      </m:oMath>
      <w:r w:rsidR="00212783">
        <w:t xml:space="preserve">, if </w:t>
      </w:r>
      <m:oMath>
        <m:sSubSup>
          <m:sSubSupPr>
            <m:ctrlPr>
              <w:rPr>
                <w:rFonts w:ascii="Cambria Math" w:hAnsi="Cambria Math" w:cs="Calibri"/>
                <w:b/>
                <w:bCs/>
                <w:i/>
                <w:iCs/>
                <w:sz w:val="22"/>
                <w:szCs w:val="22"/>
              </w:rPr>
            </m:ctrlPr>
          </m:sSubSupPr>
          <m:e>
            <m:r>
              <m:rPr>
                <m:sty m:val="bi"/>
              </m:rPr>
              <w:rPr>
                <w:rFonts w:ascii="Cambria Math" w:hAnsi="Cambria Math"/>
              </w:rPr>
              <m:t>N</m:t>
            </m:r>
          </m:e>
          <m:sub>
            <m:r>
              <m:rPr>
                <m:sty m:val="bi"/>
              </m:rPr>
              <w:rPr>
                <w:rFonts w:ascii="Cambria Math" w:hAnsi="Cambria Math"/>
              </w:rPr>
              <m:t>cells</m:t>
            </m:r>
          </m:sub>
          <m:sup>
            <m:r>
              <m:rPr>
                <m:sty m:val="bi"/>
              </m:rPr>
              <w:rPr>
                <w:rFonts w:ascii="Cambria Math" w:hAnsi="Cambria Math"/>
              </w:rPr>
              <m:t>DL</m:t>
            </m:r>
          </m:sup>
        </m:sSubSup>
      </m:oMath>
      <w:r w:rsidR="00212783">
        <w:t xml:space="preserve"> is less than or equal to 4 or </w:t>
      </w:r>
      <m:oMath>
        <m:sSubSup>
          <m:sSubSupPr>
            <m:ctrlPr>
              <w:rPr>
                <w:rFonts w:ascii="Cambria Math" w:hAnsi="Cambria Math" w:cs="Calibri"/>
                <w:b/>
                <w:bCs/>
                <w:i/>
                <w:iCs/>
                <w:sz w:val="22"/>
                <w:szCs w:val="22"/>
              </w:rPr>
            </m:ctrlPr>
          </m:sSubSupPr>
          <m:e>
            <m:r>
              <m:rPr>
                <m:sty m:val="bi"/>
              </m:rPr>
              <w:rPr>
                <w:rFonts w:ascii="Cambria Math" w:hAnsi="Cambria Math"/>
              </w:rPr>
              <m:t>N</m:t>
            </m:r>
          </m:e>
          <m:sub>
            <m:r>
              <m:rPr>
                <m:sty m:val="bi"/>
              </m:rPr>
              <w:rPr>
                <w:rFonts w:ascii="Cambria Math" w:hAnsi="Cambria Math"/>
              </w:rPr>
              <m:t>cells</m:t>
            </m:r>
          </m:sub>
          <m:sup>
            <m:r>
              <m:rPr>
                <m:sty m:val="bi"/>
              </m:rPr>
              <w:rPr>
                <w:rFonts w:ascii="Cambria Math" w:hAnsi="Cambria Math"/>
              </w:rPr>
              <m:t>DL</m:t>
            </m:r>
          </m:sup>
        </m:sSubSup>
        <m:r>
          <m:rPr>
            <m:sty m:val="bi"/>
          </m:rPr>
          <w:rPr>
            <w:rFonts w:ascii="Cambria Math" w:hAnsi="Cambria Math"/>
          </w:rPr>
          <m:t xml:space="preserve"> </m:t>
        </m:r>
      </m:oMath>
      <w:r w:rsidR="00212783">
        <w:t>is less than or equal to Y,</w:t>
      </w:r>
    </w:p>
    <w:p w14:paraId="49D8079E" w14:textId="77777777" w:rsidR="00212783" w:rsidRDefault="00C66BD9" w:rsidP="00212783">
      <w:pPr>
        <w:pStyle w:val="ListParagraph"/>
        <w:numPr>
          <w:ilvl w:val="0"/>
          <w:numId w:val="18"/>
        </w:numPr>
        <w:ind w:left="1440"/>
        <w:jc w:val="both"/>
      </w:pPr>
      <m:oMath>
        <m:d>
          <m:dPr>
            <m:begChr m:val="⌊"/>
            <m:endChr m:val="⌋"/>
            <m:ctrlPr>
              <w:rPr>
                <w:rFonts w:ascii="Cambria Math" w:hAnsi="Cambria Math" w:cs="Calibri"/>
                <w:sz w:val="22"/>
                <w:szCs w:val="22"/>
              </w:rPr>
            </m:ctrlPr>
          </m:dPr>
          <m:e>
            <m:f>
              <m:fPr>
                <m:ctrlPr>
                  <w:rPr>
                    <w:rFonts w:ascii="Cambria Math" w:hAnsi="Cambria Math" w:cs="Calibri"/>
                    <w:sz w:val="22"/>
                    <w:szCs w:val="22"/>
                  </w:rPr>
                </m:ctrlPr>
              </m:fPr>
              <m:num>
                <m:sSup>
                  <m:sSupPr>
                    <m:ctrlPr>
                      <w:rPr>
                        <w:rFonts w:ascii="Cambria Math" w:hAnsi="Cambria Math" w:cs="Calibri"/>
                        <w:sz w:val="22"/>
                        <w:szCs w:val="22"/>
                      </w:rPr>
                    </m:ctrlPr>
                  </m:sSupPr>
                  <m:e>
                    <m:r>
                      <m:rPr>
                        <m:sty m:val="b"/>
                      </m:rPr>
                      <w:rPr>
                        <w:rFonts w:ascii="Cambria Math" w:hAnsi="Cambria Math"/>
                      </w:rPr>
                      <m:t>2</m:t>
                    </m:r>
                  </m:e>
                  <m:sup>
                    <m:r>
                      <m:rPr>
                        <m:sty m:val="bi"/>
                      </m:rPr>
                      <w:rPr>
                        <w:rFonts w:ascii="Cambria Math" w:hAnsi="Cambria Math"/>
                      </w:rPr>
                      <m:t>i</m:t>
                    </m:r>
                  </m:sup>
                </m:sSup>
              </m:num>
              <m:den>
                <m:sSup>
                  <m:sSupPr>
                    <m:ctrlPr>
                      <w:rPr>
                        <w:rFonts w:ascii="Cambria Math" w:hAnsi="Cambria Math" w:cs="Calibri"/>
                        <w:sz w:val="22"/>
                        <w:szCs w:val="22"/>
                      </w:rPr>
                    </m:ctrlPr>
                  </m:sSupPr>
                  <m:e>
                    <m:r>
                      <m:rPr>
                        <m:sty m:val="b"/>
                      </m:rPr>
                      <w:rPr>
                        <w:rFonts w:ascii="Cambria Math" w:hAnsi="Cambria Math"/>
                      </w:rPr>
                      <m:t>2</m:t>
                    </m:r>
                  </m:e>
                  <m:sup>
                    <m:r>
                      <w:rPr>
                        <w:rFonts w:ascii="Cambria Math" w:hAnsi="Cambria Math" w:cs="Calibri"/>
                        <w:sz w:val="22"/>
                        <w:szCs w:val="22"/>
                      </w:rPr>
                      <m:t>j</m:t>
                    </m:r>
                  </m:sup>
                </m:sSup>
              </m:den>
            </m:f>
            <m:r>
              <w:rPr>
                <w:rFonts w:ascii="Cambria Math" w:hAnsi="Cambria Math"/>
              </w:rPr>
              <m:t>*</m:t>
            </m:r>
            <m:d>
              <m:dPr>
                <m:ctrlPr>
                  <w:rPr>
                    <w:rFonts w:ascii="Cambria Math" w:hAnsi="Cambria Math" w:cs="Calibri"/>
                    <w:sz w:val="22"/>
                    <w:szCs w:val="22"/>
                  </w:rPr>
                </m:ctrlPr>
              </m:dPr>
              <m:e>
                <m:sSub>
                  <m:sSubPr>
                    <m:ctrlPr>
                      <w:rPr>
                        <w:rFonts w:ascii="Cambria Math" w:hAnsi="Cambria Math" w:cs="Calibri"/>
                        <w:sz w:val="22"/>
                        <w:szCs w:val="22"/>
                      </w:rPr>
                    </m:ctrlPr>
                  </m:sSubPr>
                  <m:e>
                    <m:r>
                      <m:rPr>
                        <m:sty m:val="bi"/>
                      </m:rPr>
                      <w:rPr>
                        <w:rFonts w:ascii="Cambria Math" w:hAnsi="Cambria Math"/>
                      </w:rPr>
                      <m:t>M</m:t>
                    </m:r>
                  </m:e>
                  <m:sub>
                    <m:r>
                      <m:rPr>
                        <m:sty m:val="bi"/>
                      </m:rPr>
                      <w:rPr>
                        <w:rFonts w:ascii="Cambria Math" w:hAnsi="Cambria Math"/>
                      </w:rPr>
                      <m:t>i</m:t>
                    </m:r>
                  </m:sub>
                </m:sSub>
                <m:r>
                  <m:rPr>
                    <m:sty m:val="p"/>
                  </m:rPr>
                  <w:rPr>
                    <w:rFonts w:ascii="Cambria Math" w:hAnsi="Cambria Math"/>
                  </w:rPr>
                  <m:t xml:space="preserve"> </m:t>
                </m:r>
                <m:r>
                  <m:rPr>
                    <m:sty m:val="bi"/>
                  </m:rPr>
                  <w:rPr>
                    <w:rFonts w:ascii="Cambria Math" w:hAnsi="Cambria Math"/>
                  </w:rPr>
                  <m:t>or</m:t>
                </m:r>
                <m:r>
                  <m:rPr>
                    <m:sty m:val="p"/>
                  </m:rPr>
                  <w:rPr>
                    <w:rFonts w:ascii="Cambria Math" w:hAnsi="Cambria Math"/>
                  </w:rPr>
                  <m:t xml:space="preserve"> </m:t>
                </m:r>
                <m:sSub>
                  <m:sSubPr>
                    <m:ctrlPr>
                      <w:rPr>
                        <w:rFonts w:ascii="Cambria Math" w:hAnsi="Cambria Math" w:cs="Calibri"/>
                        <w:sz w:val="22"/>
                        <w:szCs w:val="22"/>
                      </w:rPr>
                    </m:ctrlPr>
                  </m:sSubPr>
                  <m:e>
                    <m:r>
                      <m:rPr>
                        <m:sty m:val="bi"/>
                      </m:rPr>
                      <w:rPr>
                        <w:rFonts w:ascii="Cambria Math" w:hAnsi="Cambria Math"/>
                      </w:rPr>
                      <m:t>N</m:t>
                    </m:r>
                  </m:e>
                  <m:sub>
                    <m:r>
                      <m:rPr>
                        <m:sty m:val="bi"/>
                      </m:rPr>
                      <w:rPr>
                        <w:rFonts w:ascii="Cambria Math" w:hAnsi="Cambria Math"/>
                      </w:rPr>
                      <m:t>i</m:t>
                    </m:r>
                  </m:sub>
                </m:sSub>
              </m:e>
            </m:d>
            <m:r>
              <m:rPr>
                <m:sty m:val="p"/>
              </m:rPr>
              <w:rPr>
                <w:rFonts w:ascii="Cambria Math" w:hAnsi="Cambria Math"/>
              </w:rPr>
              <m:t>*</m:t>
            </m:r>
            <m:f>
              <m:fPr>
                <m:ctrlPr>
                  <w:rPr>
                    <w:rFonts w:ascii="Cambria Math" w:hAnsi="Cambria Math" w:cs="Calibri"/>
                    <w:sz w:val="22"/>
                    <w:szCs w:val="22"/>
                  </w:rPr>
                </m:ctrlPr>
              </m:fPr>
              <m:num>
                <m:sSub>
                  <m:sSubPr>
                    <m:ctrlPr>
                      <w:rPr>
                        <w:rFonts w:ascii="Cambria Math" w:hAnsi="Cambria Math" w:cs="Calibri"/>
                        <w:sz w:val="22"/>
                        <w:szCs w:val="22"/>
                      </w:rPr>
                    </m:ctrlPr>
                  </m:sSubPr>
                  <m:e>
                    <m:r>
                      <m:rPr>
                        <m:sty m:val="bi"/>
                      </m:rPr>
                      <w:rPr>
                        <w:rFonts w:ascii="Cambria Math" w:hAnsi="Cambria Math"/>
                      </w:rPr>
                      <m:t>X</m:t>
                    </m:r>
                  </m:e>
                  <m:sub>
                    <m:r>
                      <m:rPr>
                        <m:sty m:val="bi"/>
                      </m:rPr>
                      <w:rPr>
                        <w:rFonts w:ascii="Cambria Math" w:hAnsi="Cambria Math"/>
                      </w:rPr>
                      <m:t>ij</m:t>
                    </m:r>
                  </m:sub>
                </m:sSub>
              </m:num>
              <m:den>
                <m:sSub>
                  <m:sSubPr>
                    <m:ctrlPr>
                      <w:rPr>
                        <w:rFonts w:ascii="Cambria Math" w:hAnsi="Cambria Math" w:cs="Calibri"/>
                        <w:sz w:val="22"/>
                        <w:szCs w:val="22"/>
                      </w:rPr>
                    </m:ctrlPr>
                  </m:sSubPr>
                  <m:e>
                    <m:sSubSup>
                      <m:sSubSupPr>
                        <m:ctrlPr>
                          <w:rPr>
                            <w:rFonts w:ascii="Cambria Math" w:hAnsi="Cambria Math" w:cs="Calibri"/>
                            <w:b/>
                            <w:bCs/>
                            <w:i/>
                            <w:iCs/>
                            <w:sz w:val="22"/>
                            <w:szCs w:val="22"/>
                          </w:rPr>
                        </m:ctrlPr>
                      </m:sSubSupPr>
                      <m:e>
                        <m:r>
                          <m:rPr>
                            <m:sty m:val="bi"/>
                          </m:rPr>
                          <w:rPr>
                            <w:rFonts w:ascii="Cambria Math" w:hAnsi="Cambria Math"/>
                          </w:rPr>
                          <m:t>N</m:t>
                        </m:r>
                      </m:e>
                      <m:sub>
                        <m:r>
                          <m:rPr>
                            <m:sty m:val="bi"/>
                          </m:rPr>
                          <w:rPr>
                            <w:rFonts w:ascii="Cambria Math" w:hAnsi="Cambria Math"/>
                          </w:rPr>
                          <m:t>cells</m:t>
                        </m:r>
                      </m:sub>
                      <m:sup>
                        <m:r>
                          <m:rPr>
                            <m:sty m:val="bi"/>
                          </m:rPr>
                          <w:rPr>
                            <w:rFonts w:ascii="Cambria Math" w:hAnsi="Cambria Math"/>
                          </w:rPr>
                          <m:t>DL</m:t>
                        </m:r>
                      </m:sup>
                    </m:sSubSup>
                  </m:e>
                  <m:sub/>
                </m:sSub>
              </m:den>
            </m:f>
            <m:r>
              <m:rPr>
                <m:sty m:val="p"/>
              </m:rPr>
              <w:rPr>
                <w:rFonts w:ascii="Cambria Math" w:hAnsi="Cambria Math"/>
              </w:rPr>
              <m:t>*</m:t>
            </m:r>
            <m:r>
              <m:rPr>
                <m:sty m:val="bi"/>
              </m:rPr>
              <w:rPr>
                <w:rFonts w:ascii="Cambria Math" w:hAnsi="Cambria Math"/>
              </w:rPr>
              <m:t>Y</m:t>
            </m:r>
          </m:e>
        </m:d>
      </m:oMath>
      <w:r w:rsidR="00212783">
        <w:rPr>
          <w:sz w:val="22"/>
          <w:szCs w:val="22"/>
        </w:rPr>
        <w:t xml:space="preserve">, </w:t>
      </w:r>
      <w:r w:rsidR="00212783">
        <w:t xml:space="preserve">if </w:t>
      </w:r>
      <m:oMath>
        <m:sSubSup>
          <m:sSubSupPr>
            <m:ctrlPr>
              <w:rPr>
                <w:rFonts w:ascii="Cambria Math" w:hAnsi="Cambria Math" w:cs="Calibri"/>
                <w:b/>
                <w:bCs/>
                <w:i/>
                <w:iCs/>
                <w:sz w:val="22"/>
                <w:szCs w:val="22"/>
              </w:rPr>
            </m:ctrlPr>
          </m:sSubSupPr>
          <m:e>
            <m:r>
              <m:rPr>
                <m:sty m:val="bi"/>
              </m:rPr>
              <w:rPr>
                <w:rFonts w:ascii="Cambria Math" w:hAnsi="Cambria Math"/>
              </w:rPr>
              <m:t>N</m:t>
            </m:r>
          </m:e>
          <m:sub>
            <m:r>
              <m:rPr>
                <m:sty m:val="bi"/>
              </m:rPr>
              <w:rPr>
                <w:rFonts w:ascii="Cambria Math" w:hAnsi="Cambria Math"/>
              </w:rPr>
              <m:t>cells</m:t>
            </m:r>
          </m:sub>
          <m:sup>
            <m:r>
              <m:rPr>
                <m:sty m:val="bi"/>
              </m:rPr>
              <w:rPr>
                <w:rFonts w:ascii="Cambria Math" w:hAnsi="Cambria Math"/>
              </w:rPr>
              <m:t>DL</m:t>
            </m:r>
          </m:sup>
        </m:sSubSup>
      </m:oMath>
      <w:r w:rsidR="00212783">
        <w:t xml:space="preserve"> is greater than Y,</w:t>
      </w:r>
    </w:p>
    <w:p w14:paraId="7FA92484" w14:textId="77777777" w:rsidR="00212783" w:rsidRDefault="00212783" w:rsidP="00212783">
      <w:pPr>
        <w:ind w:left="720"/>
        <w:jc w:val="both"/>
      </w:pPr>
      <w:r>
        <w:t xml:space="preserve">where </w:t>
      </w:r>
    </w:p>
    <w:p w14:paraId="16EAE048" w14:textId="77777777" w:rsidR="00212783" w:rsidRPr="00212783" w:rsidRDefault="00C66BD9" w:rsidP="00212783">
      <w:pPr>
        <w:pStyle w:val="ListParagraph"/>
        <w:numPr>
          <w:ilvl w:val="1"/>
          <w:numId w:val="10"/>
        </w:numPr>
        <w:ind w:left="1800"/>
        <w:jc w:val="both"/>
        <w:rPr>
          <w:szCs w:val="20"/>
        </w:rPr>
      </w:pPr>
      <m:oMath>
        <m:sSubSup>
          <m:sSubSupPr>
            <m:ctrlPr>
              <w:rPr>
                <w:rFonts w:ascii="Cambria Math" w:hAnsi="Cambria Math" w:cs="Calibri"/>
                <w:b/>
                <w:bCs/>
                <w:i/>
                <w:iCs/>
                <w:sz w:val="22"/>
                <w:szCs w:val="22"/>
              </w:rPr>
            </m:ctrlPr>
          </m:sSubSupPr>
          <m:e>
            <m:r>
              <m:rPr>
                <m:sty m:val="bi"/>
              </m:rPr>
              <w:rPr>
                <w:rFonts w:ascii="Cambria Math" w:hAnsi="Cambria Math"/>
              </w:rPr>
              <m:t>N</m:t>
            </m:r>
          </m:e>
          <m:sub>
            <m:r>
              <m:rPr>
                <m:sty m:val="bi"/>
              </m:rPr>
              <w:rPr>
                <w:rFonts w:ascii="Cambria Math" w:hAnsi="Cambria Math"/>
              </w:rPr>
              <m:t>cells</m:t>
            </m:r>
          </m:sub>
          <m:sup>
            <m:r>
              <m:rPr>
                <m:sty m:val="bi"/>
              </m:rPr>
              <w:rPr>
                <w:rFonts w:ascii="Cambria Math" w:hAnsi="Cambria Math"/>
              </w:rPr>
              <m:t>DL</m:t>
            </m:r>
          </m:sup>
        </m:sSubSup>
      </m:oMath>
      <w:r w:rsidR="00212783" w:rsidRPr="00441954">
        <w:rPr>
          <w:iCs/>
          <w:sz w:val="22"/>
          <w:szCs w:val="22"/>
        </w:rPr>
        <w:t xml:space="preserve"> </w:t>
      </w:r>
      <w:r w:rsidR="00212783" w:rsidRPr="00212783">
        <w:rPr>
          <w:iCs/>
          <w:szCs w:val="20"/>
        </w:rPr>
        <w:t>is the number of configured CCs that are schedulable from that frequency range</w:t>
      </w:r>
    </w:p>
    <w:p w14:paraId="4BAAD53D" w14:textId="77777777" w:rsidR="00212783" w:rsidRPr="001E27DD" w:rsidRDefault="00212783" w:rsidP="00212783">
      <w:pPr>
        <w:pStyle w:val="ListParagraph"/>
        <w:numPr>
          <w:ilvl w:val="1"/>
          <w:numId w:val="10"/>
        </w:numPr>
        <w:ind w:left="1800"/>
        <w:jc w:val="both"/>
      </w:pPr>
      <m:oMath>
        <m:r>
          <m:rPr>
            <m:sty m:val="bi"/>
          </m:rPr>
          <w:rPr>
            <w:rFonts w:ascii="Cambria Math" w:hAnsi="Cambria Math" w:cs="Calibri"/>
            <w:sz w:val="22"/>
            <w:szCs w:val="22"/>
          </w:rPr>
          <m:t>j</m:t>
        </m:r>
      </m:oMath>
      <w:r>
        <w:t xml:space="preserve"> is the numerology of the scheduling </w:t>
      </w:r>
      <w:proofErr w:type="gramStart"/>
      <w:r>
        <w:t>CC(s),</w:t>
      </w:r>
      <w:proofErr w:type="gramEnd"/>
      <w:r>
        <w:t xml:space="preserve"> </w:t>
      </w:r>
    </w:p>
    <w:p w14:paraId="73C37001" w14:textId="77777777" w:rsidR="00212783" w:rsidRDefault="00212783" w:rsidP="00212783">
      <w:pPr>
        <w:pStyle w:val="ListParagraph"/>
        <w:numPr>
          <w:ilvl w:val="1"/>
          <w:numId w:val="10"/>
        </w:numPr>
        <w:ind w:left="1800"/>
        <w:jc w:val="both"/>
      </w:pPr>
      <m:oMath>
        <m:r>
          <m:rPr>
            <m:sty m:val="bi"/>
          </m:rPr>
          <w:rPr>
            <w:rFonts w:ascii="Cambria Math" w:hAnsi="Cambria Math"/>
          </w:rPr>
          <m:t>i</m:t>
        </m:r>
      </m:oMath>
      <w:r>
        <w:t xml:space="preserve"> is the numerology of the scheduled </w:t>
      </w:r>
      <w:proofErr w:type="gramStart"/>
      <w:r>
        <w:t>CC(s),</w:t>
      </w:r>
      <w:proofErr w:type="gramEnd"/>
      <w:r>
        <w:t xml:space="preserve"> </w:t>
      </w:r>
    </w:p>
    <w:p w14:paraId="2BACD751" w14:textId="77777777" w:rsidR="00212783" w:rsidRDefault="00C66BD9" w:rsidP="00212783">
      <w:pPr>
        <w:pStyle w:val="ListParagraph"/>
        <w:numPr>
          <w:ilvl w:val="1"/>
          <w:numId w:val="10"/>
        </w:numPr>
        <w:ind w:left="1800"/>
        <w:jc w:val="both"/>
      </w:pPr>
      <m:oMath>
        <m:sSub>
          <m:sSubPr>
            <m:ctrlPr>
              <w:rPr>
                <w:rFonts w:ascii="Cambria Math" w:hAnsi="Cambria Math" w:cs="Calibri"/>
                <w:i/>
                <w:iCs/>
                <w:sz w:val="22"/>
                <w:szCs w:val="22"/>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cs="Calibri"/>
                <w:i/>
                <w:iCs/>
                <w:sz w:val="22"/>
                <w:szCs w:val="22"/>
              </w:rPr>
            </m:ctrlPr>
          </m:sSubPr>
          <m:e>
            <m:r>
              <m:rPr>
                <m:sty m:val="bi"/>
              </m:rPr>
              <w:rPr>
                <w:rFonts w:ascii="Cambria Math" w:hAnsi="Cambria Math"/>
              </w:rPr>
              <m:t>N</m:t>
            </m:r>
          </m:e>
          <m:sub>
            <m:r>
              <m:rPr>
                <m:sty m:val="bi"/>
              </m:rPr>
              <w:rPr>
                <w:rFonts w:ascii="Cambria Math" w:hAnsi="Cambria Math"/>
              </w:rPr>
              <m:t>i</m:t>
            </m:r>
          </m:sub>
        </m:sSub>
      </m:oMath>
      <w:r w:rsidR="00212783">
        <w:t xml:space="preserve"> denotes the limit of BDs/CCEs for non-CA case for numerology </w:t>
      </w:r>
      <m:oMath>
        <m:r>
          <m:rPr>
            <m:sty m:val="bi"/>
          </m:rPr>
          <w:rPr>
            <w:rFonts w:ascii="Cambria Math" w:hAnsi="Cambria Math"/>
          </w:rPr>
          <m:t>i</m:t>
        </m:r>
      </m:oMath>
      <w:r w:rsidR="00212783">
        <w:t xml:space="preserve">, </w:t>
      </w:r>
    </w:p>
    <w:p w14:paraId="20CD0922" w14:textId="77777777" w:rsidR="00212783" w:rsidRDefault="00C66BD9" w:rsidP="00212783">
      <w:pPr>
        <w:pStyle w:val="ListParagraph"/>
        <w:numPr>
          <w:ilvl w:val="1"/>
          <w:numId w:val="10"/>
        </w:numPr>
        <w:ind w:left="1800"/>
        <w:jc w:val="both"/>
      </w:pPr>
      <m:oMath>
        <m:sSub>
          <m:sSubPr>
            <m:ctrlPr>
              <w:rPr>
                <w:rFonts w:ascii="Cambria Math" w:hAnsi="Cambria Math" w:cs="Calibri"/>
                <w:i/>
                <w:iCs/>
                <w:sz w:val="22"/>
                <w:szCs w:val="22"/>
              </w:rPr>
            </m:ctrlPr>
          </m:sSubPr>
          <m:e>
            <m:r>
              <m:rPr>
                <m:sty m:val="bi"/>
              </m:rPr>
              <w:rPr>
                <w:rFonts w:ascii="Cambria Math" w:hAnsi="Cambria Math"/>
              </w:rPr>
              <m:t>X</m:t>
            </m:r>
          </m:e>
          <m:sub>
            <m:r>
              <m:rPr>
                <m:sty m:val="bi"/>
              </m:rPr>
              <w:rPr>
                <w:rFonts w:ascii="Cambria Math" w:hAnsi="Cambria Math"/>
              </w:rPr>
              <m:t>ij</m:t>
            </m:r>
          </m:sub>
        </m:sSub>
      </m:oMath>
      <w:r w:rsidR="00212783">
        <w:t xml:space="preserve"> is the number of CCs with numerology </w:t>
      </w:r>
      <m:oMath>
        <m:r>
          <m:rPr>
            <m:sty m:val="bi"/>
          </m:rPr>
          <w:rPr>
            <w:rFonts w:ascii="Cambria Math" w:hAnsi="Cambria Math"/>
          </w:rPr>
          <m:t>i</m:t>
        </m:r>
      </m:oMath>
      <w:r w:rsidR="00212783">
        <w:t xml:space="preserve"> that are schedulable from the scheduling CCs with numerology </w:t>
      </w:r>
      <w:r w:rsidR="00212783">
        <w:rPr>
          <w:b/>
          <w:bCs/>
          <w:i/>
          <w:iCs/>
        </w:rPr>
        <w:t>j</w:t>
      </w:r>
      <w:r w:rsidR="00212783">
        <w:t xml:space="preserve"> </w:t>
      </w:r>
    </w:p>
    <w:p w14:paraId="3D77F910" w14:textId="3E9AB16E" w:rsidR="005A793D" w:rsidRDefault="005A793D" w:rsidP="00401A22"/>
    <w:p w14:paraId="4F95A1E6" w14:textId="4740C42F" w:rsidR="005A793D" w:rsidRPr="00BB500B" w:rsidRDefault="00BB500B" w:rsidP="00BB500B">
      <w:pPr>
        <w:pStyle w:val="BodyText"/>
        <w:rPr>
          <w:rFonts w:ascii="Helvetica" w:hAnsi="Helvetica" w:cs="Helvetica"/>
          <w:b/>
          <w:u w:val="single"/>
        </w:rPr>
      </w:pPr>
      <w:r>
        <w:rPr>
          <w:rFonts w:ascii="Helvetica" w:hAnsi="Helvetica" w:cs="Helvetica"/>
          <w:b/>
          <w:u w:val="single"/>
        </w:rPr>
        <w:t xml:space="preserve">2.3 </w:t>
      </w:r>
      <w:r w:rsidR="005A793D" w:rsidRPr="00BB500B">
        <w:rPr>
          <w:rFonts w:ascii="Helvetica" w:hAnsi="Helvetica" w:cs="Helvetica"/>
          <w:b/>
          <w:u w:val="single"/>
        </w:rPr>
        <w:t>QCL aspect</w:t>
      </w:r>
    </w:p>
    <w:p w14:paraId="63A274E8" w14:textId="1BC4FA17" w:rsidR="005A793D" w:rsidRDefault="005A793D" w:rsidP="005A793D">
      <w:pPr>
        <w:pStyle w:val="BodyText"/>
      </w:pPr>
      <w:r>
        <w:t>Regarding QCL</w:t>
      </w:r>
      <w:r w:rsidR="00D2757D">
        <w:t xml:space="preserve"> aspect of cross-carrier scheduling</w:t>
      </w:r>
      <w:r>
        <w:t xml:space="preserve">, the following alternatives were discussed in RAN1 </w:t>
      </w:r>
      <w:proofErr w:type="spellStart"/>
      <w:r>
        <w:t>AdHoc</w:t>
      </w:r>
      <w:proofErr w:type="spellEnd"/>
      <w:r>
        <w:t xml:space="preserve"> meeting and conclusion was to discuss further in RAN1#96. </w:t>
      </w:r>
    </w:p>
    <w:p w14:paraId="722BE84A" w14:textId="77777777" w:rsidR="005A793D" w:rsidRPr="00DC4044" w:rsidRDefault="005A793D" w:rsidP="005A793D">
      <w:pPr>
        <w:rPr>
          <w:sz w:val="18"/>
          <w:szCs w:val="22"/>
        </w:rPr>
      </w:pPr>
      <w:r w:rsidRPr="00DC4044">
        <w:rPr>
          <w:sz w:val="18"/>
        </w:rPr>
        <w:t xml:space="preserve">Alt 1: (follow Rel-15 definition): </w:t>
      </w:r>
      <w:proofErr w:type="spellStart"/>
      <w:r w:rsidRPr="00DC4044">
        <w:rPr>
          <w:sz w:val="18"/>
        </w:rPr>
        <w:t>Tci-PresentInDCI</w:t>
      </w:r>
      <w:proofErr w:type="spellEnd"/>
      <w:r w:rsidRPr="00DC4044">
        <w:rPr>
          <w:sz w:val="18"/>
        </w:rPr>
        <w:t xml:space="preserve"> </w:t>
      </w:r>
      <w:proofErr w:type="gramStart"/>
      <w:r w:rsidRPr="00DC4044">
        <w:rPr>
          <w:sz w:val="18"/>
        </w:rPr>
        <w:t>has to</w:t>
      </w:r>
      <w:proofErr w:type="gramEnd"/>
      <w:r w:rsidRPr="00DC4044">
        <w:rPr>
          <w:sz w:val="18"/>
        </w:rPr>
        <w:t xml:space="preserve"> be always enabled for cross-carrier scheduling. </w:t>
      </w:r>
    </w:p>
    <w:p w14:paraId="197B4F6E" w14:textId="77777777" w:rsidR="005A793D" w:rsidRPr="00DC4044" w:rsidRDefault="005A793D" w:rsidP="006E544F">
      <w:pPr>
        <w:pStyle w:val="ListParagraph"/>
        <w:numPr>
          <w:ilvl w:val="0"/>
          <w:numId w:val="22"/>
        </w:numPr>
        <w:rPr>
          <w:sz w:val="18"/>
        </w:rPr>
      </w:pPr>
      <w:r w:rsidRPr="00DC4044">
        <w:rPr>
          <w:sz w:val="18"/>
        </w:rPr>
        <w:t xml:space="preserve">For cross-carrier scheduling with </w:t>
      </w:r>
      <w:proofErr w:type="spellStart"/>
      <w:r w:rsidRPr="00DC4044">
        <w:rPr>
          <w:sz w:val="18"/>
        </w:rPr>
        <w:t>tci-PresentInDCI</w:t>
      </w:r>
      <w:proofErr w:type="spellEnd"/>
      <w:r w:rsidRPr="00DC4044">
        <w:rPr>
          <w:sz w:val="18"/>
        </w:rPr>
        <w:t xml:space="preserve"> being enabled for a DCI format 1_1, or if </w:t>
      </w:r>
      <w:proofErr w:type="spellStart"/>
      <w:r w:rsidRPr="00DC4044">
        <w:rPr>
          <w:sz w:val="18"/>
        </w:rPr>
        <w:t>tci-PresentInDCI</w:t>
      </w:r>
      <w:proofErr w:type="spellEnd"/>
      <w:r w:rsidRPr="00DC4044">
        <w:rPr>
          <w:sz w:val="18"/>
        </w:rPr>
        <w:t xml:space="preserve"> is not enabled for DCI format 1_1, the scheduling timing offset cannot be smaller than the threshold. </w:t>
      </w:r>
    </w:p>
    <w:p w14:paraId="2AA2DBD8" w14:textId="77777777" w:rsidR="005A793D" w:rsidRPr="00DC4044" w:rsidRDefault="005A793D" w:rsidP="005A793D">
      <w:pPr>
        <w:rPr>
          <w:sz w:val="18"/>
        </w:rPr>
      </w:pPr>
      <w:r w:rsidRPr="00DC4044">
        <w:rPr>
          <w:sz w:val="18"/>
        </w:rPr>
        <w:t xml:space="preserve">Alt 2: </w:t>
      </w:r>
    </w:p>
    <w:p w14:paraId="44D8BFBD" w14:textId="77777777" w:rsidR="005A793D" w:rsidRPr="00DC4044" w:rsidRDefault="005A793D" w:rsidP="006E544F">
      <w:pPr>
        <w:pStyle w:val="ListParagraph"/>
        <w:numPr>
          <w:ilvl w:val="0"/>
          <w:numId w:val="22"/>
        </w:numPr>
        <w:rPr>
          <w:sz w:val="18"/>
        </w:rPr>
      </w:pPr>
      <w:r w:rsidRPr="00DC4044">
        <w:rPr>
          <w:sz w:val="18"/>
        </w:rPr>
        <w:t xml:space="preserve">If the scheduling timing offset is smaller than the threshold, or if </w:t>
      </w:r>
      <w:proofErr w:type="spellStart"/>
      <w:r w:rsidRPr="00DC4044">
        <w:rPr>
          <w:sz w:val="18"/>
        </w:rPr>
        <w:t>tci-PresentInDCI</w:t>
      </w:r>
      <w:proofErr w:type="spellEnd"/>
      <w:r w:rsidRPr="00DC4044">
        <w:rPr>
          <w:sz w:val="18"/>
        </w:rPr>
        <w:t xml:space="preserve"> is not enabled for DCI format 1_1, the default QCL assumption for PDSCH in case of cross-carrier scheduling is </w:t>
      </w:r>
      <w:r w:rsidRPr="00DC4044">
        <w:rPr>
          <w:b/>
          <w:sz w:val="18"/>
        </w:rPr>
        <w:t>based on dummy CORESET configured in the active BWP of the scheduled cell</w:t>
      </w:r>
    </w:p>
    <w:p w14:paraId="4A40A06F" w14:textId="77777777" w:rsidR="005A793D" w:rsidRPr="00DC4044" w:rsidRDefault="005A793D" w:rsidP="005A793D">
      <w:pPr>
        <w:rPr>
          <w:sz w:val="18"/>
        </w:rPr>
      </w:pPr>
      <w:r w:rsidRPr="00DC4044">
        <w:rPr>
          <w:sz w:val="18"/>
        </w:rPr>
        <w:t xml:space="preserve">Alt 3: </w:t>
      </w:r>
    </w:p>
    <w:p w14:paraId="2C5795F2" w14:textId="77777777" w:rsidR="005A793D" w:rsidRPr="00DC4044" w:rsidRDefault="005A793D" w:rsidP="006E544F">
      <w:pPr>
        <w:pStyle w:val="ListParagraph"/>
        <w:numPr>
          <w:ilvl w:val="0"/>
          <w:numId w:val="22"/>
        </w:numPr>
        <w:rPr>
          <w:sz w:val="18"/>
        </w:rPr>
      </w:pPr>
      <w:r w:rsidRPr="00DC4044">
        <w:rPr>
          <w:sz w:val="18"/>
        </w:rPr>
        <w:t xml:space="preserve">If the scheduling timing offset is smaller than the </w:t>
      </w:r>
      <w:proofErr w:type="gramStart"/>
      <w:r w:rsidRPr="00DC4044">
        <w:rPr>
          <w:sz w:val="18"/>
        </w:rPr>
        <w:t>threshold ,</w:t>
      </w:r>
      <w:proofErr w:type="gramEnd"/>
      <w:r w:rsidRPr="00DC4044">
        <w:rPr>
          <w:sz w:val="18"/>
        </w:rPr>
        <w:t xml:space="preserve"> or if </w:t>
      </w:r>
      <w:proofErr w:type="spellStart"/>
      <w:r w:rsidRPr="00DC4044">
        <w:rPr>
          <w:sz w:val="18"/>
        </w:rPr>
        <w:t>tci-PresentInDCI</w:t>
      </w:r>
      <w:proofErr w:type="spellEnd"/>
      <w:r w:rsidRPr="00DC4044">
        <w:rPr>
          <w:sz w:val="18"/>
        </w:rPr>
        <w:t xml:space="preserve"> is not enabled for DCI format 1_1, default QCL assumption for PDSCH in case of cross-carrier scheduling is </w:t>
      </w:r>
      <w:r w:rsidRPr="00DC4044">
        <w:rPr>
          <w:b/>
          <w:sz w:val="18"/>
        </w:rPr>
        <w:t>based on the TCI-state with the lowest ID applicable to PDSCH in the active BWP</w:t>
      </w:r>
      <w:r w:rsidRPr="00DC4044">
        <w:rPr>
          <w:sz w:val="18"/>
        </w:rPr>
        <w:t xml:space="preserve"> of the scheduled cell</w:t>
      </w:r>
    </w:p>
    <w:p w14:paraId="3ACD34E9" w14:textId="77777777" w:rsidR="006E544F" w:rsidRDefault="006E544F" w:rsidP="005A793D">
      <w:pPr>
        <w:pStyle w:val="BodyText"/>
      </w:pPr>
    </w:p>
    <w:p w14:paraId="116FA5DB" w14:textId="77777777" w:rsidR="006D7FE4" w:rsidRDefault="00D2757D" w:rsidP="005A793D">
      <w:pPr>
        <w:pStyle w:val="BodyText"/>
      </w:pPr>
      <w:r>
        <w:t xml:space="preserve">Alt 1 </w:t>
      </w:r>
      <w:r w:rsidR="006D7FE4">
        <w:t>proposes following</w:t>
      </w:r>
      <w:r>
        <w:t xml:space="preserve"> Rel-15 behavior, </w:t>
      </w:r>
      <w:r w:rsidR="006D7FE4">
        <w:t>suggesting</w:t>
      </w:r>
      <w:r>
        <w:t xml:space="preserve"> the scheduling timing offset to be no smaller than the </w:t>
      </w:r>
      <w:proofErr w:type="spellStart"/>
      <w:r>
        <w:t>delta_offset</w:t>
      </w:r>
      <w:proofErr w:type="spellEnd"/>
      <w:r>
        <w:t xml:space="preserve"> threshold. As discussed in sec 2.1, the k0 value for PDCCH end to PDSCH </w:t>
      </w:r>
      <w:r w:rsidR="00894AB2">
        <w:t xml:space="preserve">start </w:t>
      </w:r>
      <w:r>
        <w:t xml:space="preserve">timing will be specified for cross-carrier scheduling case, which </w:t>
      </w:r>
      <w:r w:rsidR="00894AB2">
        <w:t>may</w:t>
      </w:r>
      <w:r>
        <w:t xml:space="preserve"> likely be different (and </w:t>
      </w:r>
      <w:r w:rsidR="00617C5C">
        <w:t>potentially</w:t>
      </w:r>
      <w:r>
        <w:t xml:space="preserve"> smaller) than the </w:t>
      </w:r>
      <w:proofErr w:type="spellStart"/>
      <w:r>
        <w:t>delta_offset</w:t>
      </w:r>
      <w:proofErr w:type="spellEnd"/>
      <w:r>
        <w:t xml:space="preserve"> threshold value. </w:t>
      </w:r>
      <w:r w:rsidR="00617C5C">
        <w:t xml:space="preserve">Therefore, rather than not allowing </w:t>
      </w:r>
      <w:r w:rsidR="00584610">
        <w:t xml:space="preserve">scheduling timing </w:t>
      </w:r>
      <w:proofErr w:type="gramStart"/>
      <w:r w:rsidR="00584610">
        <w:t>offset</w:t>
      </w:r>
      <w:proofErr w:type="gramEnd"/>
      <w:r w:rsidR="00584610">
        <w:t xml:space="preserve"> smaller than the </w:t>
      </w:r>
      <w:proofErr w:type="spellStart"/>
      <w:r w:rsidR="00584610">
        <w:t>delta_offset</w:t>
      </w:r>
      <w:proofErr w:type="spellEnd"/>
      <w:r w:rsidR="00584610">
        <w:t xml:space="preserve"> threshold, it is preferable to have a rule defined that UE can use to determine QCL if the PDSCH is too close to the DL assignment. </w:t>
      </w:r>
    </w:p>
    <w:p w14:paraId="797583BF" w14:textId="2692CECE" w:rsidR="00D2757D" w:rsidRDefault="006D7FE4" w:rsidP="005A793D">
      <w:pPr>
        <w:pStyle w:val="BodyText"/>
      </w:pPr>
      <w:r>
        <w:t xml:space="preserve">We think the explicit configuration of the TCI-state </w:t>
      </w:r>
      <w:r w:rsidR="00DC4044">
        <w:t xml:space="preserve">is simple and </w:t>
      </w:r>
      <w:proofErr w:type="gramStart"/>
      <w:r w:rsidR="00DC4044">
        <w:t>sufficient</w:t>
      </w:r>
      <w:proofErr w:type="gramEnd"/>
      <w:r w:rsidR="00DC4044">
        <w:t xml:space="preserve"> solution. </w:t>
      </w:r>
    </w:p>
    <w:p w14:paraId="0BCF8608" w14:textId="77DC342E" w:rsidR="00584610" w:rsidRDefault="00584610" w:rsidP="00584610">
      <w:pPr>
        <w:jc w:val="both"/>
        <w:rPr>
          <w:b/>
          <w:u w:val="single"/>
        </w:rPr>
      </w:pPr>
      <w:r w:rsidRPr="00DC4044">
        <w:rPr>
          <w:b/>
          <w:u w:val="single"/>
        </w:rPr>
        <w:t xml:space="preserve">Proposal </w:t>
      </w:r>
      <w:r w:rsidR="00D128EC" w:rsidRPr="00DC4044">
        <w:rPr>
          <w:b/>
          <w:u w:val="single"/>
        </w:rPr>
        <w:t>3</w:t>
      </w:r>
    </w:p>
    <w:p w14:paraId="23774B96" w14:textId="329B6E8B" w:rsidR="00584610" w:rsidRDefault="00584610" w:rsidP="00584610">
      <w:pPr>
        <w:jc w:val="both"/>
        <w:rPr>
          <w:b/>
          <w:u w:val="single"/>
        </w:rPr>
      </w:pPr>
    </w:p>
    <w:p w14:paraId="3F7CA579" w14:textId="4CA2DA55" w:rsidR="008C08DE" w:rsidRDefault="008C08DE" w:rsidP="00584610">
      <w:pPr>
        <w:pStyle w:val="ListParagraph"/>
        <w:numPr>
          <w:ilvl w:val="0"/>
          <w:numId w:val="4"/>
        </w:numPr>
        <w:jc w:val="both"/>
        <w:rPr>
          <w:b/>
        </w:rPr>
      </w:pPr>
      <w:r>
        <w:rPr>
          <w:b/>
        </w:rPr>
        <w:t xml:space="preserve">For cross-carrier scheduling, an explicit TCI-state is configured for QCL assumption for PDSCH reception when the PDSCH scheduling timing offset is smaller than </w:t>
      </w:r>
      <w:proofErr w:type="spellStart"/>
      <w:r>
        <w:rPr>
          <w:b/>
        </w:rPr>
        <w:t>delta_offset</w:t>
      </w:r>
      <w:proofErr w:type="spellEnd"/>
      <w:r>
        <w:rPr>
          <w:b/>
        </w:rPr>
        <w:t xml:space="preserve"> threshold.</w:t>
      </w:r>
    </w:p>
    <w:p w14:paraId="165D9C78" w14:textId="77777777" w:rsidR="00BB500B" w:rsidRDefault="00BB500B" w:rsidP="00BB500B">
      <w:pPr>
        <w:pStyle w:val="BodyText"/>
        <w:rPr>
          <w:rFonts w:ascii="Helvetica" w:hAnsi="Helvetica" w:cs="Helvetica"/>
          <w:b/>
          <w:u w:val="single"/>
        </w:rPr>
      </w:pPr>
    </w:p>
    <w:p w14:paraId="29C64B03" w14:textId="7C9A6807" w:rsidR="00092B11" w:rsidRPr="00BB500B" w:rsidRDefault="00BB500B" w:rsidP="00BB500B">
      <w:pPr>
        <w:pStyle w:val="BodyText"/>
        <w:rPr>
          <w:rFonts w:ascii="Helvetica" w:hAnsi="Helvetica" w:cs="Helvetica"/>
          <w:b/>
          <w:u w:val="single"/>
        </w:rPr>
      </w:pPr>
      <w:r>
        <w:rPr>
          <w:rFonts w:ascii="Helvetica" w:hAnsi="Helvetica" w:cs="Helvetica"/>
          <w:b/>
          <w:u w:val="single"/>
        </w:rPr>
        <w:t xml:space="preserve">2.4 </w:t>
      </w:r>
      <w:r w:rsidR="00092B11" w:rsidRPr="00BB500B">
        <w:rPr>
          <w:rFonts w:ascii="Helvetica" w:hAnsi="Helvetica" w:cs="Helvetica"/>
          <w:b/>
          <w:u w:val="single"/>
        </w:rPr>
        <w:t>Number of valid unicast DCIs per monitoring occasions</w:t>
      </w:r>
    </w:p>
    <w:p w14:paraId="018AE117" w14:textId="3CB6F131" w:rsidR="004C060F" w:rsidRDefault="004C060F" w:rsidP="00092B11">
      <w:pPr>
        <w:pStyle w:val="BodyText"/>
      </w:pPr>
      <w:r>
        <w:t xml:space="preserve">Currently, according to UE feature list (in Rel-15), for some UE capabilities (3-5b), there is a limitation on the number of DCIs UE can process for a monitoring occasion. For CA with mixed numerology, increasing the number of valid unicast DCIs per monitoring occasion can be </w:t>
      </w:r>
      <w:r w:rsidR="00FD6E45">
        <w:t>considered</w:t>
      </w:r>
      <w:r>
        <w:t xml:space="preserve">. </w:t>
      </w:r>
    </w:p>
    <w:p w14:paraId="2F0F1E23" w14:textId="43CEEFAE" w:rsidR="004C060F" w:rsidRDefault="004C060F" w:rsidP="004C060F">
      <w:pPr>
        <w:jc w:val="both"/>
        <w:rPr>
          <w:b/>
          <w:u w:val="single"/>
        </w:rPr>
      </w:pPr>
      <w:r w:rsidRPr="00DC4044">
        <w:rPr>
          <w:b/>
          <w:u w:val="single"/>
        </w:rPr>
        <w:t xml:space="preserve">Proposal </w:t>
      </w:r>
      <w:r w:rsidR="00D128EC" w:rsidRPr="00DC4044">
        <w:rPr>
          <w:b/>
          <w:u w:val="single"/>
        </w:rPr>
        <w:t>4</w:t>
      </w:r>
    </w:p>
    <w:p w14:paraId="74CDB808" w14:textId="77777777" w:rsidR="00053BE3" w:rsidRDefault="00053BE3" w:rsidP="004C060F">
      <w:pPr>
        <w:jc w:val="both"/>
        <w:rPr>
          <w:b/>
          <w:u w:val="single"/>
        </w:rPr>
      </w:pPr>
    </w:p>
    <w:p w14:paraId="717B01BE" w14:textId="1BE60E23" w:rsidR="004C060F" w:rsidRPr="00053BE3" w:rsidRDefault="004C060F" w:rsidP="004C060F">
      <w:pPr>
        <w:pStyle w:val="BodyText"/>
        <w:numPr>
          <w:ilvl w:val="0"/>
          <w:numId w:val="4"/>
        </w:numPr>
        <w:rPr>
          <w:b/>
        </w:rPr>
      </w:pPr>
      <w:r w:rsidRPr="00053BE3">
        <w:rPr>
          <w:b/>
        </w:rPr>
        <w:t>For CA with mixed numerology, increas</w:t>
      </w:r>
      <w:r w:rsidR="006D7FE4">
        <w:rPr>
          <w:b/>
        </w:rPr>
        <w:t>ed</w:t>
      </w:r>
      <w:r w:rsidRPr="00053BE3">
        <w:rPr>
          <w:b/>
        </w:rPr>
        <w:t xml:space="preserve"> number of valid unicast DCIs per </w:t>
      </w:r>
      <w:r w:rsidR="006D7FE4">
        <w:rPr>
          <w:b/>
        </w:rPr>
        <w:t xml:space="preserve">PDCCH </w:t>
      </w:r>
      <w:r w:rsidRPr="00053BE3">
        <w:rPr>
          <w:b/>
        </w:rPr>
        <w:t xml:space="preserve">monitoring occasion </w:t>
      </w:r>
      <w:r w:rsidR="00FD6E45">
        <w:rPr>
          <w:b/>
        </w:rPr>
        <w:t>can be considered</w:t>
      </w:r>
      <w:r w:rsidRPr="00053BE3">
        <w:rPr>
          <w:b/>
        </w:rPr>
        <w:t>.</w:t>
      </w:r>
    </w:p>
    <w:p w14:paraId="491144F5" w14:textId="77777777" w:rsidR="004C060F" w:rsidRPr="00092B11" w:rsidRDefault="004C060F" w:rsidP="00092B11">
      <w:pPr>
        <w:pStyle w:val="BodyText"/>
      </w:pPr>
    </w:p>
    <w:p w14:paraId="5C43DAA9" w14:textId="77777777" w:rsidR="00401A22" w:rsidRDefault="00401A22" w:rsidP="00401A22">
      <w:pPr>
        <w:pStyle w:val="Heading1"/>
        <w:tabs>
          <w:tab w:val="clear" w:pos="3544"/>
        </w:tabs>
        <w:ind w:left="567"/>
      </w:pPr>
      <w:r>
        <w:t>Conclusions</w:t>
      </w:r>
    </w:p>
    <w:p w14:paraId="32287A0F" w14:textId="0DB08E01" w:rsidR="00401A22" w:rsidRDefault="00401A22" w:rsidP="00401A22">
      <w:pPr>
        <w:pStyle w:val="BodyText"/>
        <w:rPr>
          <w:lang w:val="en-AU"/>
        </w:rPr>
      </w:pPr>
      <w:r>
        <w:t xml:space="preserve">In this document, we discuss </w:t>
      </w:r>
      <w:r>
        <w:rPr>
          <w:lang w:val="en-AU"/>
        </w:rPr>
        <w:t>issues related to specification of cross-carrier scheduling with different numerologies and propose the following</w:t>
      </w:r>
    </w:p>
    <w:p w14:paraId="49446B31" w14:textId="60D124CB" w:rsidR="00DC4044" w:rsidRDefault="00DC4044" w:rsidP="00401A22">
      <w:pPr>
        <w:pStyle w:val="BodyText"/>
      </w:pPr>
    </w:p>
    <w:p w14:paraId="0761E2E4" w14:textId="77777777" w:rsidR="00FD6E45" w:rsidRDefault="00FD6E45" w:rsidP="00FD6E45">
      <w:pPr>
        <w:rPr>
          <w:b/>
          <w:u w:val="single"/>
        </w:rPr>
      </w:pPr>
      <w:r w:rsidRPr="0045475F">
        <w:rPr>
          <w:b/>
          <w:u w:val="single"/>
        </w:rPr>
        <w:t>Proposal 1</w:t>
      </w:r>
    </w:p>
    <w:p w14:paraId="5149EB7E" w14:textId="77777777" w:rsidR="00FD6E45" w:rsidRDefault="00FD6E45" w:rsidP="00FD6E45">
      <w:pPr>
        <w:ind w:left="360"/>
        <w:rPr>
          <w:b/>
          <w:u w:val="single"/>
        </w:rPr>
      </w:pPr>
    </w:p>
    <w:p w14:paraId="1BDC1020" w14:textId="77777777" w:rsidR="00FD6E45" w:rsidRPr="00416ACC" w:rsidRDefault="00FD6E45" w:rsidP="00FD6E45">
      <w:pPr>
        <w:pStyle w:val="ListParagraph"/>
        <w:numPr>
          <w:ilvl w:val="0"/>
          <w:numId w:val="2"/>
        </w:numPr>
        <w:ind w:left="1080"/>
        <w:rPr>
          <w:b/>
          <w:u w:val="single"/>
        </w:rPr>
      </w:pPr>
      <w:r>
        <w:lastRenderedPageBreak/>
        <w:t>If a UE is configured with CIF, and if numerology of the scheduling cell is different from that of the scheduled cell, the UE is not expected to receive a PDSCH if the corresponding PDCCH DCI indicates k0&lt;X.</w:t>
      </w:r>
    </w:p>
    <w:p w14:paraId="64635CD0" w14:textId="77777777" w:rsidR="00FD6E45" w:rsidRPr="00416ACC" w:rsidRDefault="00FD6E45" w:rsidP="00FD6E45">
      <w:pPr>
        <w:pStyle w:val="ListParagraph"/>
        <w:numPr>
          <w:ilvl w:val="1"/>
          <w:numId w:val="2"/>
        </w:numPr>
        <w:ind w:left="1800"/>
        <w:rPr>
          <w:b/>
          <w:u w:val="single"/>
        </w:rPr>
      </w:pPr>
      <w:r>
        <w:t>X depends on the numerology of the scheduling cell and the scheduled cell</w:t>
      </w:r>
    </w:p>
    <w:p w14:paraId="305FC7EF" w14:textId="77777777" w:rsidR="00DC4044" w:rsidRDefault="00DC4044" w:rsidP="00DC4044">
      <w:pPr>
        <w:jc w:val="both"/>
        <w:rPr>
          <w:b/>
          <w:u w:val="single"/>
        </w:rPr>
      </w:pPr>
      <w:r w:rsidRPr="0045475F">
        <w:rPr>
          <w:b/>
          <w:u w:val="single"/>
        </w:rPr>
        <w:t>Proposal 2</w:t>
      </w:r>
    </w:p>
    <w:p w14:paraId="6585E10E" w14:textId="77777777" w:rsidR="00DC4044" w:rsidRDefault="00DC4044" w:rsidP="00DC4044">
      <w:pPr>
        <w:ind w:left="360"/>
        <w:jc w:val="both"/>
        <w:rPr>
          <w:rFonts w:cs="Arial"/>
        </w:rPr>
      </w:pPr>
    </w:p>
    <w:p w14:paraId="5C17CFFE" w14:textId="77777777" w:rsidR="00DC4044" w:rsidRPr="001E27DD" w:rsidRDefault="00DC4044" w:rsidP="00DC4044">
      <w:pPr>
        <w:pStyle w:val="ListParagraph"/>
        <w:numPr>
          <w:ilvl w:val="0"/>
          <w:numId w:val="21"/>
        </w:numPr>
        <w:jc w:val="both"/>
      </w:pPr>
      <w:r>
        <w:t xml:space="preserve">For cross-carrier scheduling with different numerologies with BD/CCE capability Y for a frequency range, the limit of BDs/CCEs per slot of the scheduling CC(s) (with numerology </w:t>
      </w:r>
      <w:r w:rsidRPr="00212783">
        <w:rPr>
          <w:b/>
          <w:bCs/>
          <w:i/>
          <w:iCs/>
        </w:rPr>
        <w:t>j)</w:t>
      </w:r>
      <w:r>
        <w:t xml:space="preserve"> belonging to the frequency range for scheduled CC(s) with numerology </w:t>
      </w:r>
      <m:oMath>
        <m:r>
          <m:rPr>
            <m:sty m:val="bi"/>
          </m:rPr>
          <w:rPr>
            <w:rFonts w:ascii="Cambria Math" w:hAnsi="Cambria Math"/>
          </w:rPr>
          <m:t xml:space="preserve">i </m:t>
        </m:r>
      </m:oMath>
      <w:r w:rsidRPr="00212783">
        <w:rPr>
          <w:szCs w:val="20"/>
        </w:rPr>
        <w:t xml:space="preserve">is given by </w:t>
      </w:r>
    </w:p>
    <w:p w14:paraId="1893316C" w14:textId="77777777" w:rsidR="00DC4044" w:rsidRPr="001E27DD" w:rsidRDefault="00C66BD9" w:rsidP="00DC4044">
      <w:pPr>
        <w:pStyle w:val="ListParagraph"/>
        <w:numPr>
          <w:ilvl w:val="0"/>
          <w:numId w:val="18"/>
        </w:numPr>
        <w:ind w:left="1440"/>
        <w:jc w:val="both"/>
        <w:rPr>
          <w:szCs w:val="20"/>
        </w:rPr>
      </w:pPr>
      <m:oMath>
        <m:d>
          <m:dPr>
            <m:ctrlPr>
              <w:rPr>
                <w:rFonts w:ascii="Cambria Math" w:hAnsi="Cambria Math" w:cs="Calibri"/>
                <w:i/>
                <w:iCs/>
                <w:sz w:val="22"/>
                <w:szCs w:val="22"/>
              </w:rPr>
            </m:ctrlPr>
          </m:dPr>
          <m:e>
            <m:f>
              <m:fPr>
                <m:ctrlPr>
                  <w:rPr>
                    <w:rFonts w:ascii="Cambria Math" w:hAnsi="Cambria Math" w:cs="Calibri"/>
                    <w:sz w:val="22"/>
                    <w:szCs w:val="22"/>
                  </w:rPr>
                </m:ctrlPr>
              </m:fPr>
              <m:num>
                <m:sSup>
                  <m:sSupPr>
                    <m:ctrlPr>
                      <w:rPr>
                        <w:rFonts w:ascii="Cambria Math" w:hAnsi="Cambria Math" w:cs="Calibri"/>
                        <w:sz w:val="22"/>
                        <w:szCs w:val="22"/>
                      </w:rPr>
                    </m:ctrlPr>
                  </m:sSupPr>
                  <m:e>
                    <m:r>
                      <m:rPr>
                        <m:sty m:val="b"/>
                      </m:rPr>
                      <w:rPr>
                        <w:rFonts w:ascii="Cambria Math" w:hAnsi="Cambria Math"/>
                      </w:rPr>
                      <m:t>2</m:t>
                    </m:r>
                  </m:e>
                  <m:sup>
                    <m:r>
                      <m:rPr>
                        <m:sty m:val="bi"/>
                      </m:rPr>
                      <w:rPr>
                        <w:rFonts w:ascii="Cambria Math" w:hAnsi="Cambria Math"/>
                      </w:rPr>
                      <m:t>i</m:t>
                    </m:r>
                  </m:sup>
                </m:sSup>
              </m:num>
              <m:den>
                <m:sSup>
                  <m:sSupPr>
                    <m:ctrlPr>
                      <w:rPr>
                        <w:rFonts w:ascii="Cambria Math" w:hAnsi="Cambria Math" w:cs="Calibri"/>
                        <w:sz w:val="22"/>
                        <w:szCs w:val="22"/>
                      </w:rPr>
                    </m:ctrlPr>
                  </m:sSupPr>
                  <m:e>
                    <m:r>
                      <m:rPr>
                        <m:sty m:val="b"/>
                      </m:rPr>
                      <w:rPr>
                        <w:rFonts w:ascii="Cambria Math" w:hAnsi="Cambria Math"/>
                      </w:rPr>
                      <m:t>2</m:t>
                    </m:r>
                  </m:e>
                  <m:sup>
                    <m:r>
                      <w:rPr>
                        <w:rFonts w:ascii="Cambria Math" w:hAnsi="Cambria Math" w:cs="Calibri"/>
                        <w:sz w:val="22"/>
                        <w:szCs w:val="22"/>
                      </w:rPr>
                      <m:t>j</m:t>
                    </m:r>
                  </m:sup>
                </m:sSup>
              </m:den>
            </m:f>
            <m:r>
              <w:rPr>
                <w:rFonts w:ascii="Cambria Math" w:hAnsi="Cambria Math" w:cs="Calibri"/>
                <w:sz w:val="22"/>
                <w:szCs w:val="22"/>
              </w:rPr>
              <m:t>*</m:t>
            </m:r>
            <m:sSub>
              <m:sSubPr>
                <m:ctrlPr>
                  <w:rPr>
                    <w:rFonts w:ascii="Cambria Math" w:hAnsi="Cambria Math" w:cs="Calibri"/>
                    <w:i/>
                    <w:iCs/>
                    <w:sz w:val="22"/>
                    <w:szCs w:val="22"/>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cs="Calibri"/>
                    <w:i/>
                    <w:iCs/>
                    <w:sz w:val="22"/>
                    <w:szCs w:val="22"/>
                  </w:rPr>
                </m:ctrlPr>
              </m:sSubPr>
              <m:e>
                <m:r>
                  <m:rPr>
                    <m:sty m:val="bi"/>
                  </m:rPr>
                  <w:rPr>
                    <w:rFonts w:ascii="Cambria Math" w:hAnsi="Cambria Math"/>
                  </w:rPr>
                  <m:t>N</m:t>
                </m:r>
              </m:e>
              <m:sub>
                <m:r>
                  <m:rPr>
                    <m:sty m:val="bi"/>
                  </m:rPr>
                  <w:rPr>
                    <w:rFonts w:ascii="Cambria Math" w:hAnsi="Cambria Math"/>
                  </w:rPr>
                  <m:t>i</m:t>
                </m:r>
              </m:sub>
            </m:sSub>
          </m:e>
        </m:d>
      </m:oMath>
      <w:r w:rsidR="00DC4044">
        <w:t xml:space="preserve">, if </w:t>
      </w:r>
      <m:oMath>
        <m:sSubSup>
          <m:sSubSupPr>
            <m:ctrlPr>
              <w:rPr>
                <w:rFonts w:ascii="Cambria Math" w:hAnsi="Cambria Math" w:cs="Calibri"/>
                <w:b/>
                <w:bCs/>
                <w:i/>
                <w:iCs/>
                <w:sz w:val="22"/>
                <w:szCs w:val="22"/>
              </w:rPr>
            </m:ctrlPr>
          </m:sSubSupPr>
          <m:e>
            <m:r>
              <m:rPr>
                <m:sty m:val="bi"/>
              </m:rPr>
              <w:rPr>
                <w:rFonts w:ascii="Cambria Math" w:hAnsi="Cambria Math"/>
              </w:rPr>
              <m:t>N</m:t>
            </m:r>
          </m:e>
          <m:sub>
            <m:r>
              <m:rPr>
                <m:sty m:val="bi"/>
              </m:rPr>
              <w:rPr>
                <w:rFonts w:ascii="Cambria Math" w:hAnsi="Cambria Math"/>
              </w:rPr>
              <m:t>cells</m:t>
            </m:r>
          </m:sub>
          <m:sup>
            <m:r>
              <m:rPr>
                <m:sty m:val="bi"/>
              </m:rPr>
              <w:rPr>
                <w:rFonts w:ascii="Cambria Math" w:hAnsi="Cambria Math"/>
              </w:rPr>
              <m:t>DL</m:t>
            </m:r>
          </m:sup>
        </m:sSubSup>
      </m:oMath>
      <w:r w:rsidR="00DC4044">
        <w:t xml:space="preserve"> is less than or equal to 4 or </w:t>
      </w:r>
      <m:oMath>
        <m:sSubSup>
          <m:sSubSupPr>
            <m:ctrlPr>
              <w:rPr>
                <w:rFonts w:ascii="Cambria Math" w:hAnsi="Cambria Math" w:cs="Calibri"/>
                <w:b/>
                <w:bCs/>
                <w:i/>
                <w:iCs/>
                <w:sz w:val="22"/>
                <w:szCs w:val="22"/>
              </w:rPr>
            </m:ctrlPr>
          </m:sSubSupPr>
          <m:e>
            <m:r>
              <m:rPr>
                <m:sty m:val="bi"/>
              </m:rPr>
              <w:rPr>
                <w:rFonts w:ascii="Cambria Math" w:hAnsi="Cambria Math"/>
              </w:rPr>
              <m:t>N</m:t>
            </m:r>
          </m:e>
          <m:sub>
            <m:r>
              <m:rPr>
                <m:sty m:val="bi"/>
              </m:rPr>
              <w:rPr>
                <w:rFonts w:ascii="Cambria Math" w:hAnsi="Cambria Math"/>
              </w:rPr>
              <m:t>cells</m:t>
            </m:r>
          </m:sub>
          <m:sup>
            <m:r>
              <m:rPr>
                <m:sty m:val="bi"/>
              </m:rPr>
              <w:rPr>
                <w:rFonts w:ascii="Cambria Math" w:hAnsi="Cambria Math"/>
              </w:rPr>
              <m:t>DL</m:t>
            </m:r>
          </m:sup>
        </m:sSubSup>
        <m:r>
          <m:rPr>
            <m:sty m:val="bi"/>
          </m:rPr>
          <w:rPr>
            <w:rFonts w:ascii="Cambria Math" w:hAnsi="Cambria Math"/>
          </w:rPr>
          <m:t xml:space="preserve"> </m:t>
        </m:r>
      </m:oMath>
      <w:r w:rsidR="00DC4044">
        <w:t>is less than or equal to Y,</w:t>
      </w:r>
    </w:p>
    <w:p w14:paraId="61DBB028" w14:textId="77777777" w:rsidR="00DC4044" w:rsidRDefault="00C66BD9" w:rsidP="00DC4044">
      <w:pPr>
        <w:pStyle w:val="ListParagraph"/>
        <w:numPr>
          <w:ilvl w:val="0"/>
          <w:numId w:val="18"/>
        </w:numPr>
        <w:ind w:left="1440"/>
        <w:jc w:val="both"/>
      </w:pPr>
      <m:oMath>
        <m:d>
          <m:dPr>
            <m:begChr m:val="⌊"/>
            <m:endChr m:val="⌋"/>
            <m:ctrlPr>
              <w:rPr>
                <w:rFonts w:ascii="Cambria Math" w:hAnsi="Cambria Math" w:cs="Calibri"/>
                <w:sz w:val="22"/>
                <w:szCs w:val="22"/>
              </w:rPr>
            </m:ctrlPr>
          </m:dPr>
          <m:e>
            <m:f>
              <m:fPr>
                <m:ctrlPr>
                  <w:rPr>
                    <w:rFonts w:ascii="Cambria Math" w:hAnsi="Cambria Math" w:cs="Calibri"/>
                    <w:sz w:val="22"/>
                    <w:szCs w:val="22"/>
                  </w:rPr>
                </m:ctrlPr>
              </m:fPr>
              <m:num>
                <m:sSup>
                  <m:sSupPr>
                    <m:ctrlPr>
                      <w:rPr>
                        <w:rFonts w:ascii="Cambria Math" w:hAnsi="Cambria Math" w:cs="Calibri"/>
                        <w:sz w:val="22"/>
                        <w:szCs w:val="22"/>
                      </w:rPr>
                    </m:ctrlPr>
                  </m:sSupPr>
                  <m:e>
                    <m:r>
                      <m:rPr>
                        <m:sty m:val="b"/>
                      </m:rPr>
                      <w:rPr>
                        <w:rFonts w:ascii="Cambria Math" w:hAnsi="Cambria Math"/>
                      </w:rPr>
                      <m:t>2</m:t>
                    </m:r>
                  </m:e>
                  <m:sup>
                    <m:r>
                      <m:rPr>
                        <m:sty m:val="bi"/>
                      </m:rPr>
                      <w:rPr>
                        <w:rFonts w:ascii="Cambria Math" w:hAnsi="Cambria Math"/>
                      </w:rPr>
                      <m:t>i</m:t>
                    </m:r>
                  </m:sup>
                </m:sSup>
              </m:num>
              <m:den>
                <m:sSup>
                  <m:sSupPr>
                    <m:ctrlPr>
                      <w:rPr>
                        <w:rFonts w:ascii="Cambria Math" w:hAnsi="Cambria Math" w:cs="Calibri"/>
                        <w:sz w:val="22"/>
                        <w:szCs w:val="22"/>
                      </w:rPr>
                    </m:ctrlPr>
                  </m:sSupPr>
                  <m:e>
                    <m:r>
                      <m:rPr>
                        <m:sty m:val="b"/>
                      </m:rPr>
                      <w:rPr>
                        <w:rFonts w:ascii="Cambria Math" w:hAnsi="Cambria Math"/>
                      </w:rPr>
                      <m:t>2</m:t>
                    </m:r>
                  </m:e>
                  <m:sup>
                    <m:r>
                      <w:rPr>
                        <w:rFonts w:ascii="Cambria Math" w:hAnsi="Cambria Math" w:cs="Calibri"/>
                        <w:sz w:val="22"/>
                        <w:szCs w:val="22"/>
                      </w:rPr>
                      <m:t>j</m:t>
                    </m:r>
                  </m:sup>
                </m:sSup>
              </m:den>
            </m:f>
            <m:r>
              <w:rPr>
                <w:rFonts w:ascii="Cambria Math" w:hAnsi="Cambria Math"/>
              </w:rPr>
              <m:t>*</m:t>
            </m:r>
            <m:d>
              <m:dPr>
                <m:ctrlPr>
                  <w:rPr>
                    <w:rFonts w:ascii="Cambria Math" w:hAnsi="Cambria Math" w:cs="Calibri"/>
                    <w:sz w:val="22"/>
                    <w:szCs w:val="22"/>
                  </w:rPr>
                </m:ctrlPr>
              </m:dPr>
              <m:e>
                <m:sSub>
                  <m:sSubPr>
                    <m:ctrlPr>
                      <w:rPr>
                        <w:rFonts w:ascii="Cambria Math" w:hAnsi="Cambria Math" w:cs="Calibri"/>
                        <w:sz w:val="22"/>
                        <w:szCs w:val="22"/>
                      </w:rPr>
                    </m:ctrlPr>
                  </m:sSubPr>
                  <m:e>
                    <m:r>
                      <m:rPr>
                        <m:sty m:val="bi"/>
                      </m:rPr>
                      <w:rPr>
                        <w:rFonts w:ascii="Cambria Math" w:hAnsi="Cambria Math"/>
                      </w:rPr>
                      <m:t>M</m:t>
                    </m:r>
                  </m:e>
                  <m:sub>
                    <m:r>
                      <m:rPr>
                        <m:sty m:val="bi"/>
                      </m:rPr>
                      <w:rPr>
                        <w:rFonts w:ascii="Cambria Math" w:hAnsi="Cambria Math"/>
                      </w:rPr>
                      <m:t>i</m:t>
                    </m:r>
                  </m:sub>
                </m:sSub>
                <m:r>
                  <m:rPr>
                    <m:sty m:val="p"/>
                  </m:rPr>
                  <w:rPr>
                    <w:rFonts w:ascii="Cambria Math" w:hAnsi="Cambria Math"/>
                  </w:rPr>
                  <m:t xml:space="preserve"> </m:t>
                </m:r>
                <m:r>
                  <m:rPr>
                    <m:sty m:val="bi"/>
                  </m:rPr>
                  <w:rPr>
                    <w:rFonts w:ascii="Cambria Math" w:hAnsi="Cambria Math"/>
                  </w:rPr>
                  <m:t>or</m:t>
                </m:r>
                <m:r>
                  <m:rPr>
                    <m:sty m:val="p"/>
                  </m:rPr>
                  <w:rPr>
                    <w:rFonts w:ascii="Cambria Math" w:hAnsi="Cambria Math"/>
                  </w:rPr>
                  <m:t xml:space="preserve"> </m:t>
                </m:r>
                <m:sSub>
                  <m:sSubPr>
                    <m:ctrlPr>
                      <w:rPr>
                        <w:rFonts w:ascii="Cambria Math" w:hAnsi="Cambria Math" w:cs="Calibri"/>
                        <w:sz w:val="22"/>
                        <w:szCs w:val="22"/>
                      </w:rPr>
                    </m:ctrlPr>
                  </m:sSubPr>
                  <m:e>
                    <m:r>
                      <m:rPr>
                        <m:sty m:val="bi"/>
                      </m:rPr>
                      <w:rPr>
                        <w:rFonts w:ascii="Cambria Math" w:hAnsi="Cambria Math"/>
                      </w:rPr>
                      <m:t>N</m:t>
                    </m:r>
                  </m:e>
                  <m:sub>
                    <m:r>
                      <m:rPr>
                        <m:sty m:val="bi"/>
                      </m:rPr>
                      <w:rPr>
                        <w:rFonts w:ascii="Cambria Math" w:hAnsi="Cambria Math"/>
                      </w:rPr>
                      <m:t>i</m:t>
                    </m:r>
                  </m:sub>
                </m:sSub>
              </m:e>
            </m:d>
            <m:r>
              <m:rPr>
                <m:sty m:val="p"/>
              </m:rPr>
              <w:rPr>
                <w:rFonts w:ascii="Cambria Math" w:hAnsi="Cambria Math"/>
              </w:rPr>
              <m:t>*</m:t>
            </m:r>
            <m:f>
              <m:fPr>
                <m:ctrlPr>
                  <w:rPr>
                    <w:rFonts w:ascii="Cambria Math" w:hAnsi="Cambria Math" w:cs="Calibri"/>
                    <w:sz w:val="22"/>
                    <w:szCs w:val="22"/>
                  </w:rPr>
                </m:ctrlPr>
              </m:fPr>
              <m:num>
                <m:sSub>
                  <m:sSubPr>
                    <m:ctrlPr>
                      <w:rPr>
                        <w:rFonts w:ascii="Cambria Math" w:hAnsi="Cambria Math" w:cs="Calibri"/>
                        <w:sz w:val="22"/>
                        <w:szCs w:val="22"/>
                      </w:rPr>
                    </m:ctrlPr>
                  </m:sSubPr>
                  <m:e>
                    <m:r>
                      <m:rPr>
                        <m:sty m:val="bi"/>
                      </m:rPr>
                      <w:rPr>
                        <w:rFonts w:ascii="Cambria Math" w:hAnsi="Cambria Math"/>
                      </w:rPr>
                      <m:t>X</m:t>
                    </m:r>
                  </m:e>
                  <m:sub>
                    <m:r>
                      <m:rPr>
                        <m:sty m:val="bi"/>
                      </m:rPr>
                      <w:rPr>
                        <w:rFonts w:ascii="Cambria Math" w:hAnsi="Cambria Math"/>
                      </w:rPr>
                      <m:t>ij</m:t>
                    </m:r>
                  </m:sub>
                </m:sSub>
              </m:num>
              <m:den>
                <m:sSub>
                  <m:sSubPr>
                    <m:ctrlPr>
                      <w:rPr>
                        <w:rFonts w:ascii="Cambria Math" w:hAnsi="Cambria Math" w:cs="Calibri"/>
                        <w:sz w:val="22"/>
                        <w:szCs w:val="22"/>
                      </w:rPr>
                    </m:ctrlPr>
                  </m:sSubPr>
                  <m:e>
                    <m:sSubSup>
                      <m:sSubSupPr>
                        <m:ctrlPr>
                          <w:rPr>
                            <w:rFonts w:ascii="Cambria Math" w:hAnsi="Cambria Math" w:cs="Calibri"/>
                            <w:b/>
                            <w:bCs/>
                            <w:i/>
                            <w:iCs/>
                            <w:sz w:val="22"/>
                            <w:szCs w:val="22"/>
                          </w:rPr>
                        </m:ctrlPr>
                      </m:sSubSupPr>
                      <m:e>
                        <m:r>
                          <m:rPr>
                            <m:sty m:val="bi"/>
                          </m:rPr>
                          <w:rPr>
                            <w:rFonts w:ascii="Cambria Math" w:hAnsi="Cambria Math"/>
                          </w:rPr>
                          <m:t>N</m:t>
                        </m:r>
                      </m:e>
                      <m:sub>
                        <m:r>
                          <m:rPr>
                            <m:sty m:val="bi"/>
                          </m:rPr>
                          <w:rPr>
                            <w:rFonts w:ascii="Cambria Math" w:hAnsi="Cambria Math"/>
                          </w:rPr>
                          <m:t>cells</m:t>
                        </m:r>
                      </m:sub>
                      <m:sup>
                        <m:r>
                          <m:rPr>
                            <m:sty m:val="bi"/>
                          </m:rPr>
                          <w:rPr>
                            <w:rFonts w:ascii="Cambria Math" w:hAnsi="Cambria Math"/>
                          </w:rPr>
                          <m:t>DL</m:t>
                        </m:r>
                      </m:sup>
                    </m:sSubSup>
                  </m:e>
                  <m:sub/>
                </m:sSub>
              </m:den>
            </m:f>
            <m:r>
              <m:rPr>
                <m:sty m:val="p"/>
              </m:rPr>
              <w:rPr>
                <w:rFonts w:ascii="Cambria Math" w:hAnsi="Cambria Math"/>
              </w:rPr>
              <m:t>*</m:t>
            </m:r>
            <m:r>
              <m:rPr>
                <m:sty m:val="bi"/>
              </m:rPr>
              <w:rPr>
                <w:rFonts w:ascii="Cambria Math" w:hAnsi="Cambria Math"/>
              </w:rPr>
              <m:t>Y</m:t>
            </m:r>
          </m:e>
        </m:d>
      </m:oMath>
      <w:r w:rsidR="00DC4044">
        <w:rPr>
          <w:sz w:val="22"/>
          <w:szCs w:val="22"/>
        </w:rPr>
        <w:t xml:space="preserve">, </w:t>
      </w:r>
      <w:r w:rsidR="00DC4044">
        <w:t xml:space="preserve">if </w:t>
      </w:r>
      <m:oMath>
        <m:sSubSup>
          <m:sSubSupPr>
            <m:ctrlPr>
              <w:rPr>
                <w:rFonts w:ascii="Cambria Math" w:hAnsi="Cambria Math" w:cs="Calibri"/>
                <w:b/>
                <w:bCs/>
                <w:i/>
                <w:iCs/>
                <w:sz w:val="22"/>
                <w:szCs w:val="22"/>
              </w:rPr>
            </m:ctrlPr>
          </m:sSubSupPr>
          <m:e>
            <m:r>
              <m:rPr>
                <m:sty m:val="bi"/>
              </m:rPr>
              <w:rPr>
                <w:rFonts w:ascii="Cambria Math" w:hAnsi="Cambria Math"/>
              </w:rPr>
              <m:t>N</m:t>
            </m:r>
          </m:e>
          <m:sub>
            <m:r>
              <m:rPr>
                <m:sty m:val="bi"/>
              </m:rPr>
              <w:rPr>
                <w:rFonts w:ascii="Cambria Math" w:hAnsi="Cambria Math"/>
              </w:rPr>
              <m:t>cells</m:t>
            </m:r>
          </m:sub>
          <m:sup>
            <m:r>
              <m:rPr>
                <m:sty m:val="bi"/>
              </m:rPr>
              <w:rPr>
                <w:rFonts w:ascii="Cambria Math" w:hAnsi="Cambria Math"/>
              </w:rPr>
              <m:t>DL</m:t>
            </m:r>
          </m:sup>
        </m:sSubSup>
      </m:oMath>
      <w:r w:rsidR="00DC4044">
        <w:t xml:space="preserve"> is greater than Y,</w:t>
      </w:r>
    </w:p>
    <w:p w14:paraId="4401EA03" w14:textId="77777777" w:rsidR="00DC4044" w:rsidRDefault="00DC4044" w:rsidP="00DC4044">
      <w:pPr>
        <w:ind w:left="720"/>
        <w:jc w:val="both"/>
      </w:pPr>
      <w:r>
        <w:t xml:space="preserve">where </w:t>
      </w:r>
    </w:p>
    <w:p w14:paraId="187B5C1E" w14:textId="77777777" w:rsidR="00DC4044" w:rsidRPr="00212783" w:rsidRDefault="00C66BD9" w:rsidP="00DC4044">
      <w:pPr>
        <w:pStyle w:val="ListParagraph"/>
        <w:numPr>
          <w:ilvl w:val="1"/>
          <w:numId w:val="10"/>
        </w:numPr>
        <w:ind w:left="1800"/>
        <w:jc w:val="both"/>
        <w:rPr>
          <w:szCs w:val="20"/>
        </w:rPr>
      </w:pPr>
      <m:oMath>
        <m:sSubSup>
          <m:sSubSupPr>
            <m:ctrlPr>
              <w:rPr>
                <w:rFonts w:ascii="Cambria Math" w:hAnsi="Cambria Math" w:cs="Calibri"/>
                <w:b/>
                <w:bCs/>
                <w:i/>
                <w:iCs/>
                <w:sz w:val="22"/>
                <w:szCs w:val="22"/>
              </w:rPr>
            </m:ctrlPr>
          </m:sSubSupPr>
          <m:e>
            <m:r>
              <m:rPr>
                <m:sty m:val="bi"/>
              </m:rPr>
              <w:rPr>
                <w:rFonts w:ascii="Cambria Math" w:hAnsi="Cambria Math"/>
              </w:rPr>
              <m:t>N</m:t>
            </m:r>
          </m:e>
          <m:sub>
            <m:r>
              <m:rPr>
                <m:sty m:val="bi"/>
              </m:rPr>
              <w:rPr>
                <w:rFonts w:ascii="Cambria Math" w:hAnsi="Cambria Math"/>
              </w:rPr>
              <m:t>cells</m:t>
            </m:r>
          </m:sub>
          <m:sup>
            <m:r>
              <m:rPr>
                <m:sty m:val="bi"/>
              </m:rPr>
              <w:rPr>
                <w:rFonts w:ascii="Cambria Math" w:hAnsi="Cambria Math"/>
              </w:rPr>
              <m:t>DL</m:t>
            </m:r>
          </m:sup>
        </m:sSubSup>
      </m:oMath>
      <w:r w:rsidR="00DC4044" w:rsidRPr="00441954">
        <w:rPr>
          <w:iCs/>
          <w:sz w:val="22"/>
          <w:szCs w:val="22"/>
        </w:rPr>
        <w:t xml:space="preserve"> </w:t>
      </w:r>
      <w:r w:rsidR="00DC4044" w:rsidRPr="00212783">
        <w:rPr>
          <w:iCs/>
          <w:szCs w:val="20"/>
        </w:rPr>
        <w:t>is the number of configured CCs that are schedulable from that frequency range</w:t>
      </w:r>
    </w:p>
    <w:p w14:paraId="4F89BB5F" w14:textId="77777777" w:rsidR="00DC4044" w:rsidRPr="001E27DD" w:rsidRDefault="00DC4044" w:rsidP="00DC4044">
      <w:pPr>
        <w:pStyle w:val="ListParagraph"/>
        <w:numPr>
          <w:ilvl w:val="1"/>
          <w:numId w:val="10"/>
        </w:numPr>
        <w:ind w:left="1800"/>
        <w:jc w:val="both"/>
      </w:pPr>
      <m:oMath>
        <m:r>
          <m:rPr>
            <m:sty m:val="bi"/>
          </m:rPr>
          <w:rPr>
            <w:rFonts w:ascii="Cambria Math" w:hAnsi="Cambria Math" w:cs="Calibri"/>
            <w:sz w:val="22"/>
            <w:szCs w:val="22"/>
          </w:rPr>
          <m:t>j</m:t>
        </m:r>
      </m:oMath>
      <w:r>
        <w:t xml:space="preserve"> is the numerology of the scheduling </w:t>
      </w:r>
      <w:proofErr w:type="gramStart"/>
      <w:r>
        <w:t>CC(s),</w:t>
      </w:r>
      <w:proofErr w:type="gramEnd"/>
      <w:r>
        <w:t xml:space="preserve"> </w:t>
      </w:r>
    </w:p>
    <w:p w14:paraId="71E6087F" w14:textId="77777777" w:rsidR="00DC4044" w:rsidRDefault="00DC4044" w:rsidP="00DC4044">
      <w:pPr>
        <w:pStyle w:val="ListParagraph"/>
        <w:numPr>
          <w:ilvl w:val="1"/>
          <w:numId w:val="10"/>
        </w:numPr>
        <w:ind w:left="1800"/>
        <w:jc w:val="both"/>
      </w:pPr>
      <m:oMath>
        <m:r>
          <m:rPr>
            <m:sty m:val="bi"/>
          </m:rPr>
          <w:rPr>
            <w:rFonts w:ascii="Cambria Math" w:hAnsi="Cambria Math"/>
          </w:rPr>
          <m:t>i</m:t>
        </m:r>
      </m:oMath>
      <w:r>
        <w:t xml:space="preserve"> is the numerology of the scheduled </w:t>
      </w:r>
      <w:proofErr w:type="gramStart"/>
      <w:r>
        <w:t>CC(s),</w:t>
      </w:r>
      <w:proofErr w:type="gramEnd"/>
      <w:r>
        <w:t xml:space="preserve"> </w:t>
      </w:r>
    </w:p>
    <w:p w14:paraId="20E0D9F0" w14:textId="77777777" w:rsidR="00DC4044" w:rsidRDefault="00C66BD9" w:rsidP="00DC4044">
      <w:pPr>
        <w:pStyle w:val="ListParagraph"/>
        <w:numPr>
          <w:ilvl w:val="1"/>
          <w:numId w:val="10"/>
        </w:numPr>
        <w:ind w:left="1800"/>
        <w:jc w:val="both"/>
      </w:pPr>
      <m:oMath>
        <m:sSub>
          <m:sSubPr>
            <m:ctrlPr>
              <w:rPr>
                <w:rFonts w:ascii="Cambria Math" w:hAnsi="Cambria Math" w:cs="Calibri"/>
                <w:i/>
                <w:iCs/>
                <w:sz w:val="22"/>
                <w:szCs w:val="22"/>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cs="Calibri"/>
                <w:i/>
                <w:iCs/>
                <w:sz w:val="22"/>
                <w:szCs w:val="22"/>
              </w:rPr>
            </m:ctrlPr>
          </m:sSubPr>
          <m:e>
            <m:r>
              <m:rPr>
                <m:sty m:val="bi"/>
              </m:rPr>
              <w:rPr>
                <w:rFonts w:ascii="Cambria Math" w:hAnsi="Cambria Math"/>
              </w:rPr>
              <m:t>N</m:t>
            </m:r>
          </m:e>
          <m:sub>
            <m:r>
              <m:rPr>
                <m:sty m:val="bi"/>
              </m:rPr>
              <w:rPr>
                <w:rFonts w:ascii="Cambria Math" w:hAnsi="Cambria Math"/>
              </w:rPr>
              <m:t>i</m:t>
            </m:r>
          </m:sub>
        </m:sSub>
      </m:oMath>
      <w:r w:rsidR="00DC4044">
        <w:t xml:space="preserve"> denotes the limit of BDs/CCEs for non-CA case for numerology </w:t>
      </w:r>
      <m:oMath>
        <m:r>
          <m:rPr>
            <m:sty m:val="bi"/>
          </m:rPr>
          <w:rPr>
            <w:rFonts w:ascii="Cambria Math" w:hAnsi="Cambria Math"/>
          </w:rPr>
          <m:t>i</m:t>
        </m:r>
      </m:oMath>
      <w:r w:rsidR="00DC4044">
        <w:t xml:space="preserve">, </w:t>
      </w:r>
    </w:p>
    <w:p w14:paraId="6D1591F1" w14:textId="77777777" w:rsidR="00DC4044" w:rsidRDefault="00C66BD9" w:rsidP="00DC4044">
      <w:pPr>
        <w:pStyle w:val="ListParagraph"/>
        <w:numPr>
          <w:ilvl w:val="1"/>
          <w:numId w:val="10"/>
        </w:numPr>
        <w:ind w:left="1800"/>
        <w:jc w:val="both"/>
      </w:pPr>
      <m:oMath>
        <m:sSub>
          <m:sSubPr>
            <m:ctrlPr>
              <w:rPr>
                <w:rFonts w:ascii="Cambria Math" w:hAnsi="Cambria Math" w:cs="Calibri"/>
                <w:i/>
                <w:iCs/>
                <w:sz w:val="22"/>
                <w:szCs w:val="22"/>
              </w:rPr>
            </m:ctrlPr>
          </m:sSubPr>
          <m:e>
            <m:r>
              <m:rPr>
                <m:sty m:val="bi"/>
              </m:rPr>
              <w:rPr>
                <w:rFonts w:ascii="Cambria Math" w:hAnsi="Cambria Math"/>
              </w:rPr>
              <m:t>X</m:t>
            </m:r>
          </m:e>
          <m:sub>
            <m:r>
              <m:rPr>
                <m:sty m:val="bi"/>
              </m:rPr>
              <w:rPr>
                <w:rFonts w:ascii="Cambria Math" w:hAnsi="Cambria Math"/>
              </w:rPr>
              <m:t>ij</m:t>
            </m:r>
          </m:sub>
        </m:sSub>
      </m:oMath>
      <w:r w:rsidR="00DC4044">
        <w:t xml:space="preserve"> is the number of CCs with numerology </w:t>
      </w:r>
      <m:oMath>
        <m:r>
          <m:rPr>
            <m:sty m:val="bi"/>
          </m:rPr>
          <w:rPr>
            <w:rFonts w:ascii="Cambria Math" w:hAnsi="Cambria Math"/>
          </w:rPr>
          <m:t>i</m:t>
        </m:r>
      </m:oMath>
      <w:r w:rsidR="00DC4044">
        <w:t xml:space="preserve"> that are schedulable from the scheduling CCs with numerology </w:t>
      </w:r>
      <w:r w:rsidR="00DC4044">
        <w:rPr>
          <w:b/>
          <w:bCs/>
          <w:i/>
          <w:iCs/>
        </w:rPr>
        <w:t>j</w:t>
      </w:r>
      <w:r w:rsidR="00DC4044">
        <w:t xml:space="preserve"> </w:t>
      </w:r>
    </w:p>
    <w:p w14:paraId="434BE762" w14:textId="77777777" w:rsidR="00DC4044" w:rsidRDefault="00DC4044" w:rsidP="00DC4044">
      <w:pPr>
        <w:jc w:val="both"/>
        <w:rPr>
          <w:b/>
          <w:u w:val="single"/>
        </w:rPr>
      </w:pPr>
      <w:r w:rsidRPr="00DC4044">
        <w:rPr>
          <w:b/>
          <w:u w:val="single"/>
        </w:rPr>
        <w:t>Proposal 3</w:t>
      </w:r>
    </w:p>
    <w:p w14:paraId="51F87EB4" w14:textId="77777777" w:rsidR="00DC4044" w:rsidRDefault="00DC4044" w:rsidP="00DC4044">
      <w:pPr>
        <w:jc w:val="both"/>
        <w:rPr>
          <w:b/>
          <w:u w:val="single"/>
        </w:rPr>
      </w:pPr>
    </w:p>
    <w:p w14:paraId="4521B301" w14:textId="77777777" w:rsidR="00DC4044" w:rsidRDefault="00DC4044" w:rsidP="00DC4044">
      <w:pPr>
        <w:pStyle w:val="ListParagraph"/>
        <w:numPr>
          <w:ilvl w:val="0"/>
          <w:numId w:val="4"/>
        </w:numPr>
        <w:jc w:val="both"/>
        <w:rPr>
          <w:b/>
        </w:rPr>
      </w:pPr>
      <w:r>
        <w:rPr>
          <w:b/>
        </w:rPr>
        <w:t xml:space="preserve">For cross-carrier scheduling, an explicit TCI-state is configured for QCL assumption for PDSCH reception when the PDSCH scheduling timing offset is smaller than </w:t>
      </w:r>
      <w:proofErr w:type="spellStart"/>
      <w:r>
        <w:rPr>
          <w:b/>
        </w:rPr>
        <w:t>delta_offset</w:t>
      </w:r>
      <w:proofErr w:type="spellEnd"/>
      <w:r>
        <w:rPr>
          <w:b/>
        </w:rPr>
        <w:t xml:space="preserve"> threshold.</w:t>
      </w:r>
    </w:p>
    <w:p w14:paraId="527D7276" w14:textId="283C4C2D" w:rsidR="00DC4044" w:rsidRDefault="00DC4044" w:rsidP="00401A22">
      <w:pPr>
        <w:pStyle w:val="BodyText"/>
      </w:pPr>
    </w:p>
    <w:p w14:paraId="72A5C89C" w14:textId="77777777" w:rsidR="00DC4044" w:rsidRDefault="00DC4044" w:rsidP="00DC4044">
      <w:pPr>
        <w:jc w:val="both"/>
        <w:rPr>
          <w:b/>
          <w:u w:val="single"/>
        </w:rPr>
      </w:pPr>
      <w:r w:rsidRPr="00DC4044">
        <w:rPr>
          <w:b/>
          <w:u w:val="single"/>
        </w:rPr>
        <w:t>Proposal 4</w:t>
      </w:r>
    </w:p>
    <w:p w14:paraId="5D0DF458" w14:textId="77777777" w:rsidR="00DC4044" w:rsidRDefault="00DC4044" w:rsidP="00DC4044">
      <w:pPr>
        <w:jc w:val="both"/>
        <w:rPr>
          <w:b/>
          <w:u w:val="single"/>
        </w:rPr>
      </w:pPr>
    </w:p>
    <w:p w14:paraId="7B63AE8E" w14:textId="5451CC33" w:rsidR="00DC4044" w:rsidRPr="00053BE3" w:rsidRDefault="00DC4044" w:rsidP="00DC4044">
      <w:pPr>
        <w:pStyle w:val="BodyText"/>
        <w:numPr>
          <w:ilvl w:val="0"/>
          <w:numId w:val="4"/>
        </w:numPr>
        <w:rPr>
          <w:b/>
        </w:rPr>
      </w:pPr>
      <w:r w:rsidRPr="00053BE3">
        <w:rPr>
          <w:b/>
        </w:rPr>
        <w:t>For CA with mixed numerology, increas</w:t>
      </w:r>
      <w:r>
        <w:rPr>
          <w:b/>
        </w:rPr>
        <w:t>ed</w:t>
      </w:r>
      <w:r w:rsidRPr="00053BE3">
        <w:rPr>
          <w:b/>
        </w:rPr>
        <w:t xml:space="preserve"> number of valid unicast DCIs per </w:t>
      </w:r>
      <w:r>
        <w:rPr>
          <w:b/>
        </w:rPr>
        <w:t xml:space="preserve">PDCCH </w:t>
      </w:r>
      <w:r w:rsidRPr="00053BE3">
        <w:rPr>
          <w:b/>
        </w:rPr>
        <w:t xml:space="preserve">monitoring occasion </w:t>
      </w:r>
      <w:r w:rsidR="00FD6E45">
        <w:rPr>
          <w:b/>
        </w:rPr>
        <w:t>can be considered</w:t>
      </w:r>
      <w:r w:rsidRPr="00053BE3">
        <w:rPr>
          <w:b/>
        </w:rPr>
        <w:t>.</w:t>
      </w:r>
    </w:p>
    <w:p w14:paraId="55DF642B" w14:textId="77777777" w:rsidR="00401A22" w:rsidRDefault="00401A22" w:rsidP="00401A22">
      <w:pPr>
        <w:jc w:val="both"/>
        <w:rPr>
          <w:b/>
          <w:u w:val="single"/>
        </w:rPr>
      </w:pPr>
    </w:p>
    <w:p w14:paraId="58AA8CEA" w14:textId="77777777" w:rsidR="00401A22" w:rsidRDefault="00401A22" w:rsidP="00401A22">
      <w:pPr>
        <w:pStyle w:val="Heading1"/>
        <w:tabs>
          <w:tab w:val="clear" w:pos="3544"/>
        </w:tabs>
        <w:ind w:left="567"/>
      </w:pPr>
      <w:r>
        <w:t>References</w:t>
      </w:r>
    </w:p>
    <w:p w14:paraId="21ECE472" w14:textId="77777777" w:rsidR="00401A22" w:rsidRDefault="00401A22" w:rsidP="00401A22">
      <w:pPr>
        <w:pStyle w:val="BodyText"/>
      </w:pPr>
      <w:r w:rsidRPr="00DA3D01">
        <w:t>[1] R</w:t>
      </w:r>
      <w:r>
        <w:t>P</w:t>
      </w:r>
      <w:r w:rsidRPr="00DA3D01">
        <w:t>-18</w:t>
      </w:r>
      <w:r>
        <w:t>2076</w:t>
      </w:r>
      <w:r w:rsidRPr="00DA3D01">
        <w:t xml:space="preserve"> – “</w:t>
      </w:r>
      <w:r w:rsidRPr="003746C8">
        <w:t>WID on Multi-RAT Dual-Connectivity and Carrier Aggregation enhancements</w:t>
      </w:r>
      <w:r w:rsidRPr="00DA3D01">
        <w:t xml:space="preserve">”, </w:t>
      </w:r>
      <w:r w:rsidRPr="008E155B">
        <w:t>Ericsson, Nokia, Nokia Shanghai Bell, Huawei</w:t>
      </w:r>
      <w:r>
        <w:t xml:space="preserve">, </w:t>
      </w:r>
      <w:r w:rsidRPr="00DA3D01">
        <w:t>RAN#</w:t>
      </w:r>
      <w:r>
        <w:t>81</w:t>
      </w:r>
      <w:r w:rsidRPr="00DA3D01">
        <w:t xml:space="preserve">, </w:t>
      </w:r>
      <w:r>
        <w:t>Gold coast</w:t>
      </w:r>
      <w:r w:rsidRPr="00DA3D01">
        <w:t xml:space="preserve">, </w:t>
      </w:r>
      <w:r>
        <w:t>Australia</w:t>
      </w:r>
      <w:r w:rsidRPr="00DA3D01">
        <w:t xml:space="preserve">, </w:t>
      </w:r>
      <w:r>
        <w:t>September</w:t>
      </w:r>
      <w:r w:rsidRPr="00DA3D01">
        <w:t xml:space="preserve"> 2018.</w:t>
      </w:r>
    </w:p>
    <w:p w14:paraId="1804B16C" w14:textId="301AF28F" w:rsidR="00401A22" w:rsidRDefault="00401A22" w:rsidP="00401A22">
      <w:pPr>
        <w:pStyle w:val="BodyText"/>
      </w:pPr>
      <w:r>
        <w:t>[2] R1-1809894 – “</w:t>
      </w:r>
      <w:r w:rsidRPr="0067336F">
        <w:t>Summary for DL/UL data scheduling maintenance</w:t>
      </w:r>
      <w:r>
        <w:t>”, Qualcomm, RAN1#94, August 2018, Gothenburg, Sweden.</w:t>
      </w:r>
    </w:p>
    <w:p w14:paraId="14D83144" w14:textId="4E247364" w:rsidR="00A96C2C" w:rsidRDefault="00A96C2C" w:rsidP="00401A22">
      <w:pPr>
        <w:pStyle w:val="BodyText"/>
      </w:pPr>
      <w:r>
        <w:t>[3] R1-1901458 – “</w:t>
      </w:r>
      <w:r w:rsidRPr="00A96C2C">
        <w:t>Feature lead summary on Cross-carrier Scheduling with Different Numerologies</w:t>
      </w:r>
      <w:r>
        <w:t xml:space="preserve">”, Nokia, RAN1 </w:t>
      </w:r>
      <w:proofErr w:type="spellStart"/>
      <w:r>
        <w:t>AdHoc</w:t>
      </w:r>
      <w:proofErr w:type="spellEnd"/>
      <w:r>
        <w:t xml:space="preserve">, January 2019, Taipei. </w:t>
      </w:r>
    </w:p>
    <w:p w14:paraId="07174512" w14:textId="77777777" w:rsidR="00401A22" w:rsidRDefault="00401A22" w:rsidP="00401A22">
      <w:pPr>
        <w:pStyle w:val="BodyText"/>
      </w:pPr>
    </w:p>
    <w:p w14:paraId="22C165EF" w14:textId="553EA1FD" w:rsidR="00401A22" w:rsidRDefault="00401A22" w:rsidP="00401A22">
      <w:pPr>
        <w:pStyle w:val="Heading1"/>
        <w:tabs>
          <w:tab w:val="clear" w:pos="3544"/>
        </w:tabs>
        <w:ind w:left="567"/>
      </w:pPr>
      <w:r>
        <w:t>Annex A</w:t>
      </w:r>
      <w:r w:rsidR="00DC4044">
        <w:t xml:space="preserve"> </w:t>
      </w:r>
    </w:p>
    <w:p w14:paraId="7070439C" w14:textId="77777777" w:rsidR="00401A22" w:rsidRDefault="00401A22" w:rsidP="00401A22">
      <w:pPr>
        <w:pStyle w:val="BodyText"/>
      </w:pPr>
      <w:r>
        <w:t xml:space="preserve">Following is a possible proposal related to K0 handling that was mentioned in [2] from RAN1#94 (Aug 2018). </w:t>
      </w:r>
    </w:p>
    <w:p w14:paraId="1DDEA3F2" w14:textId="77777777" w:rsidR="00401A22" w:rsidRDefault="00401A22" w:rsidP="00401A22"/>
    <w:p w14:paraId="01444087" w14:textId="77777777" w:rsidR="00401A22" w:rsidRDefault="00401A22" w:rsidP="00401A22">
      <w:pPr>
        <w:rPr>
          <w:b/>
          <w:u w:val="single"/>
        </w:rPr>
      </w:pPr>
      <w:r w:rsidRPr="00EE45D1">
        <w:rPr>
          <w:b/>
          <w:highlight w:val="yellow"/>
          <w:u w:val="single"/>
        </w:rPr>
        <w:t>Proposal:</w:t>
      </w:r>
      <w:r w:rsidRPr="00EE45D1">
        <w:rPr>
          <w:b/>
          <w:u w:val="single"/>
        </w:rPr>
        <w:t xml:space="preserve"> </w:t>
      </w:r>
    </w:p>
    <w:p w14:paraId="326C24B4" w14:textId="77777777" w:rsidR="00401A22" w:rsidRDefault="00401A22" w:rsidP="00401A22">
      <w:pPr>
        <w:pStyle w:val="ListParagraph"/>
        <w:numPr>
          <w:ilvl w:val="0"/>
          <w:numId w:val="6"/>
        </w:numPr>
        <w:contextualSpacing w:val="0"/>
      </w:pPr>
      <w:r>
        <w:t>When the configured with Case 1-1 PDCCH monitoring, a UE is not expected to be cross-carrier scheduled PDSCH with CIF unless K0&gt;=X according to Table 1. (Select between Alt 1 and Alt 2)</w:t>
      </w:r>
    </w:p>
    <w:p w14:paraId="79C8E6EE" w14:textId="77777777" w:rsidR="00401A22" w:rsidRDefault="00401A22" w:rsidP="00401A22">
      <w:pPr>
        <w:pStyle w:val="ListParagrap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11"/>
        <w:gridCol w:w="1811"/>
        <w:gridCol w:w="1811"/>
        <w:gridCol w:w="1740"/>
      </w:tblGrid>
      <w:tr w:rsidR="00401A22" w14:paraId="3BED3DD2" w14:textId="77777777" w:rsidTr="00030948">
        <w:tc>
          <w:tcPr>
            <w:tcW w:w="9857" w:type="dxa"/>
            <w:gridSpan w:val="5"/>
            <w:tcBorders>
              <w:top w:val="nil"/>
              <w:left w:val="nil"/>
              <w:bottom w:val="single" w:sz="4" w:space="0" w:color="auto"/>
              <w:right w:val="nil"/>
              <w:tl2br w:val="nil"/>
            </w:tcBorders>
            <w:shd w:val="clear" w:color="auto" w:fill="auto"/>
            <w:vAlign w:val="center"/>
          </w:tcPr>
          <w:p w14:paraId="2B502020" w14:textId="77777777" w:rsidR="00401A22" w:rsidRPr="00500AC3" w:rsidRDefault="00401A22" w:rsidP="00030948">
            <w:pPr>
              <w:pStyle w:val="BodyText"/>
              <w:spacing w:before="60" w:after="60"/>
              <w:jc w:val="center"/>
              <w:rPr>
                <w:b/>
                <w:lang w:eastAsia="ja-JP"/>
              </w:rPr>
            </w:pPr>
            <w:r>
              <w:rPr>
                <w:b/>
                <w:lang w:eastAsia="ja-JP"/>
              </w:rPr>
              <w:t xml:space="preserve">Alt 1: </w:t>
            </w:r>
            <w:r w:rsidRPr="00500AC3">
              <w:rPr>
                <w:b/>
                <w:lang w:eastAsia="ja-JP"/>
              </w:rPr>
              <w:t>Table 1. Proposed minimum values X</w:t>
            </w:r>
          </w:p>
        </w:tc>
      </w:tr>
      <w:tr w:rsidR="00401A22" w14:paraId="5F17B302" w14:textId="77777777" w:rsidTr="00030948">
        <w:trPr>
          <w:trHeight w:val="397"/>
        </w:trPr>
        <w:tc>
          <w:tcPr>
            <w:tcW w:w="1971" w:type="dxa"/>
            <w:tcBorders>
              <w:top w:val="single" w:sz="4" w:space="0" w:color="auto"/>
              <w:tl2br w:val="single" w:sz="4" w:space="0" w:color="auto"/>
            </w:tcBorders>
            <w:shd w:val="clear" w:color="auto" w:fill="auto"/>
            <w:vAlign w:val="center"/>
          </w:tcPr>
          <w:p w14:paraId="17698519" w14:textId="77777777" w:rsidR="00401A22" w:rsidRPr="00500AC3" w:rsidRDefault="00401A22" w:rsidP="00030948">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4623C176" w14:textId="77777777" w:rsidR="00401A22" w:rsidRPr="00500AC3" w:rsidRDefault="00401A22" w:rsidP="00030948">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64C19A3E"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72471636"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2C2BFFB8"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2EFDF11D"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120 kHz</w:t>
            </w:r>
          </w:p>
        </w:tc>
      </w:tr>
      <w:tr w:rsidR="00401A22" w14:paraId="5922DF22" w14:textId="77777777" w:rsidTr="00030948">
        <w:trPr>
          <w:trHeight w:val="170"/>
        </w:trPr>
        <w:tc>
          <w:tcPr>
            <w:tcW w:w="1971" w:type="dxa"/>
            <w:shd w:val="clear" w:color="auto" w:fill="auto"/>
            <w:vAlign w:val="center"/>
          </w:tcPr>
          <w:p w14:paraId="2B3B4CE3"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1D016F4B"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5B174704" w14:textId="77777777" w:rsidR="00401A22" w:rsidRPr="00500AC3" w:rsidRDefault="00401A22" w:rsidP="00030948">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270C5C31" w14:textId="77777777" w:rsidR="00401A22" w:rsidRPr="00500AC3" w:rsidRDefault="00401A22" w:rsidP="00030948">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20398152" w14:textId="77777777" w:rsidR="00401A22" w:rsidRPr="00500AC3" w:rsidRDefault="00401A22" w:rsidP="00030948">
            <w:pPr>
              <w:pStyle w:val="BodyText"/>
              <w:spacing w:after="0"/>
              <w:jc w:val="center"/>
              <w:rPr>
                <w:rFonts w:ascii="Arial" w:hAnsi="Arial" w:cs="Arial"/>
                <w:lang w:eastAsia="ja-JP"/>
              </w:rPr>
            </w:pPr>
          </w:p>
        </w:tc>
      </w:tr>
      <w:tr w:rsidR="00401A22" w14:paraId="072A62EE" w14:textId="77777777" w:rsidTr="00030948">
        <w:trPr>
          <w:trHeight w:val="170"/>
        </w:trPr>
        <w:tc>
          <w:tcPr>
            <w:tcW w:w="1971" w:type="dxa"/>
            <w:shd w:val="clear" w:color="auto" w:fill="auto"/>
            <w:vAlign w:val="center"/>
          </w:tcPr>
          <w:p w14:paraId="29D70BF8"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39F30329"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1</w:t>
            </w:r>
          </w:p>
        </w:tc>
        <w:tc>
          <w:tcPr>
            <w:tcW w:w="1971" w:type="dxa"/>
            <w:shd w:val="clear" w:color="auto" w:fill="auto"/>
            <w:vAlign w:val="center"/>
          </w:tcPr>
          <w:p w14:paraId="3ACCFC1C"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64F08B32" w14:textId="77777777" w:rsidR="00401A22" w:rsidRPr="00500AC3" w:rsidRDefault="00401A22" w:rsidP="00030948">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7B18F2E0" w14:textId="77777777" w:rsidR="00401A22" w:rsidRPr="00500AC3" w:rsidRDefault="00401A22" w:rsidP="00030948">
            <w:pPr>
              <w:pStyle w:val="BodyText"/>
              <w:spacing w:after="0"/>
              <w:jc w:val="center"/>
              <w:rPr>
                <w:rFonts w:ascii="Arial" w:hAnsi="Arial" w:cs="Arial"/>
                <w:lang w:eastAsia="ja-JP"/>
              </w:rPr>
            </w:pPr>
          </w:p>
        </w:tc>
      </w:tr>
      <w:tr w:rsidR="00401A22" w14:paraId="1F3657B4" w14:textId="77777777" w:rsidTr="00030948">
        <w:trPr>
          <w:trHeight w:val="170"/>
        </w:trPr>
        <w:tc>
          <w:tcPr>
            <w:tcW w:w="1971" w:type="dxa"/>
            <w:shd w:val="clear" w:color="auto" w:fill="auto"/>
            <w:vAlign w:val="center"/>
          </w:tcPr>
          <w:p w14:paraId="0021F924"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325F81CB" w14:textId="77777777" w:rsidR="00401A22" w:rsidRPr="00500AC3" w:rsidRDefault="00401A22" w:rsidP="00030948">
            <w:pPr>
              <w:pStyle w:val="BodyText"/>
              <w:jc w:val="center"/>
              <w:rPr>
                <w:rFonts w:ascii="Arial" w:hAnsi="Arial" w:cs="Arial"/>
                <w:lang w:eastAsia="ja-JP"/>
              </w:rPr>
            </w:pPr>
            <w:r>
              <w:rPr>
                <w:rFonts w:ascii="Arial" w:hAnsi="Arial" w:cs="Arial"/>
                <w:lang w:eastAsia="ja-JP"/>
              </w:rPr>
              <w:t>1 (35.71us margin)</w:t>
            </w:r>
          </w:p>
        </w:tc>
        <w:tc>
          <w:tcPr>
            <w:tcW w:w="1971" w:type="dxa"/>
            <w:shd w:val="clear" w:color="auto" w:fill="auto"/>
            <w:vAlign w:val="center"/>
          </w:tcPr>
          <w:p w14:paraId="15030691"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1</w:t>
            </w:r>
          </w:p>
        </w:tc>
        <w:tc>
          <w:tcPr>
            <w:tcW w:w="1972" w:type="dxa"/>
            <w:shd w:val="clear" w:color="auto" w:fill="auto"/>
            <w:vAlign w:val="center"/>
          </w:tcPr>
          <w:p w14:paraId="301FA4EB"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4906A6B5" w14:textId="77777777" w:rsidR="00401A22" w:rsidRPr="00500AC3" w:rsidRDefault="00401A22" w:rsidP="00030948">
            <w:pPr>
              <w:pStyle w:val="BodyText"/>
              <w:spacing w:after="0"/>
              <w:jc w:val="center"/>
              <w:rPr>
                <w:rFonts w:ascii="Arial" w:hAnsi="Arial" w:cs="Arial"/>
                <w:lang w:eastAsia="ja-JP"/>
              </w:rPr>
            </w:pPr>
          </w:p>
        </w:tc>
      </w:tr>
      <w:tr w:rsidR="00401A22" w14:paraId="4121E3BC" w14:textId="77777777" w:rsidTr="00030948">
        <w:trPr>
          <w:trHeight w:val="170"/>
        </w:trPr>
        <w:tc>
          <w:tcPr>
            <w:tcW w:w="1971" w:type="dxa"/>
            <w:shd w:val="clear" w:color="auto" w:fill="auto"/>
            <w:vAlign w:val="center"/>
          </w:tcPr>
          <w:p w14:paraId="02CF6817"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lastRenderedPageBreak/>
              <w:t>120 kHz</w:t>
            </w:r>
          </w:p>
        </w:tc>
        <w:tc>
          <w:tcPr>
            <w:tcW w:w="1971" w:type="dxa"/>
            <w:shd w:val="clear" w:color="auto" w:fill="auto"/>
            <w:vAlign w:val="center"/>
          </w:tcPr>
          <w:p w14:paraId="69D8E9B5"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2 (35.71us margin)</w:t>
            </w:r>
          </w:p>
        </w:tc>
        <w:tc>
          <w:tcPr>
            <w:tcW w:w="1971" w:type="dxa"/>
            <w:shd w:val="clear" w:color="auto" w:fill="auto"/>
            <w:vAlign w:val="center"/>
          </w:tcPr>
          <w:p w14:paraId="418ABD2B"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1 (17.86us margin)</w:t>
            </w:r>
          </w:p>
        </w:tc>
        <w:tc>
          <w:tcPr>
            <w:tcW w:w="1972" w:type="dxa"/>
            <w:shd w:val="clear" w:color="auto" w:fill="auto"/>
            <w:vAlign w:val="center"/>
          </w:tcPr>
          <w:p w14:paraId="0287E122"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1 (53.57us margin)</w:t>
            </w:r>
          </w:p>
        </w:tc>
        <w:tc>
          <w:tcPr>
            <w:tcW w:w="1972" w:type="dxa"/>
            <w:shd w:val="clear" w:color="auto" w:fill="auto"/>
            <w:vAlign w:val="center"/>
          </w:tcPr>
          <w:p w14:paraId="31D485E8"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0</w:t>
            </w:r>
          </w:p>
        </w:tc>
      </w:tr>
    </w:tbl>
    <w:p w14:paraId="4C2A7498" w14:textId="77777777" w:rsidR="00401A22" w:rsidRDefault="00401A22" w:rsidP="00401A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815"/>
        <w:gridCol w:w="1815"/>
        <w:gridCol w:w="1816"/>
        <w:gridCol w:w="1730"/>
      </w:tblGrid>
      <w:tr w:rsidR="00401A22" w14:paraId="72557CD1" w14:textId="77777777" w:rsidTr="00030948">
        <w:tc>
          <w:tcPr>
            <w:tcW w:w="9857" w:type="dxa"/>
            <w:gridSpan w:val="5"/>
            <w:tcBorders>
              <w:top w:val="nil"/>
              <w:left w:val="nil"/>
              <w:bottom w:val="single" w:sz="4" w:space="0" w:color="auto"/>
              <w:right w:val="nil"/>
              <w:tl2br w:val="nil"/>
            </w:tcBorders>
            <w:shd w:val="clear" w:color="auto" w:fill="auto"/>
            <w:vAlign w:val="center"/>
          </w:tcPr>
          <w:p w14:paraId="13C7C822" w14:textId="77777777" w:rsidR="00401A22" w:rsidRPr="00500AC3" w:rsidRDefault="00401A22" w:rsidP="00030948">
            <w:pPr>
              <w:pStyle w:val="BodyText"/>
              <w:spacing w:before="60" w:after="60"/>
              <w:jc w:val="center"/>
              <w:rPr>
                <w:b/>
                <w:lang w:eastAsia="ja-JP"/>
              </w:rPr>
            </w:pPr>
            <w:r>
              <w:rPr>
                <w:b/>
                <w:lang w:eastAsia="ja-JP"/>
              </w:rPr>
              <w:t xml:space="preserve">Alt 2: </w:t>
            </w:r>
            <w:r w:rsidRPr="00500AC3">
              <w:rPr>
                <w:b/>
                <w:lang w:eastAsia="ja-JP"/>
              </w:rPr>
              <w:t>Table 1. Proposed minimum values X</w:t>
            </w:r>
          </w:p>
        </w:tc>
      </w:tr>
      <w:tr w:rsidR="00401A22" w14:paraId="3E6F4EDD" w14:textId="77777777" w:rsidTr="00030948">
        <w:trPr>
          <w:trHeight w:val="397"/>
        </w:trPr>
        <w:tc>
          <w:tcPr>
            <w:tcW w:w="1971" w:type="dxa"/>
            <w:tcBorders>
              <w:top w:val="single" w:sz="4" w:space="0" w:color="auto"/>
              <w:tl2br w:val="single" w:sz="4" w:space="0" w:color="auto"/>
            </w:tcBorders>
            <w:shd w:val="clear" w:color="auto" w:fill="auto"/>
            <w:vAlign w:val="center"/>
          </w:tcPr>
          <w:p w14:paraId="54A24E2B" w14:textId="77777777" w:rsidR="00401A22" w:rsidRPr="00500AC3" w:rsidRDefault="00401A22" w:rsidP="00030948">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719DA55B" w14:textId="77777777" w:rsidR="00401A22" w:rsidRPr="00500AC3" w:rsidRDefault="00401A22" w:rsidP="00030948">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47DD76D0"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1623F2FD"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7C2D9D30"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7CF42D00"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120 kHz</w:t>
            </w:r>
          </w:p>
        </w:tc>
      </w:tr>
      <w:tr w:rsidR="00401A22" w14:paraId="7467ABFD" w14:textId="77777777" w:rsidTr="00030948">
        <w:trPr>
          <w:trHeight w:val="170"/>
        </w:trPr>
        <w:tc>
          <w:tcPr>
            <w:tcW w:w="1971" w:type="dxa"/>
            <w:shd w:val="clear" w:color="auto" w:fill="auto"/>
            <w:vAlign w:val="center"/>
          </w:tcPr>
          <w:p w14:paraId="4F31437C"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2FF6C5AA"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2909C787" w14:textId="77777777" w:rsidR="00401A22" w:rsidRPr="00500AC3" w:rsidRDefault="00401A22" w:rsidP="00030948">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7738456E" w14:textId="77777777" w:rsidR="00401A22" w:rsidRPr="00500AC3" w:rsidRDefault="00401A22" w:rsidP="00030948">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44CC806D" w14:textId="77777777" w:rsidR="00401A22" w:rsidRPr="00500AC3" w:rsidRDefault="00401A22" w:rsidP="00030948">
            <w:pPr>
              <w:pStyle w:val="BodyText"/>
              <w:spacing w:after="0"/>
              <w:jc w:val="center"/>
              <w:rPr>
                <w:rFonts w:ascii="Arial" w:hAnsi="Arial" w:cs="Arial"/>
                <w:lang w:eastAsia="ja-JP"/>
              </w:rPr>
            </w:pPr>
          </w:p>
        </w:tc>
      </w:tr>
      <w:tr w:rsidR="00401A22" w14:paraId="0FF3A315" w14:textId="77777777" w:rsidTr="00030948">
        <w:trPr>
          <w:trHeight w:val="170"/>
        </w:trPr>
        <w:tc>
          <w:tcPr>
            <w:tcW w:w="1971" w:type="dxa"/>
            <w:shd w:val="clear" w:color="auto" w:fill="auto"/>
            <w:vAlign w:val="center"/>
          </w:tcPr>
          <w:p w14:paraId="483DF34F"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0BABF4D8"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1 (285.7us)</w:t>
            </w:r>
          </w:p>
        </w:tc>
        <w:tc>
          <w:tcPr>
            <w:tcW w:w="1971" w:type="dxa"/>
            <w:shd w:val="clear" w:color="auto" w:fill="auto"/>
            <w:vAlign w:val="center"/>
          </w:tcPr>
          <w:p w14:paraId="5EDCBF75"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55A9E629" w14:textId="77777777" w:rsidR="00401A22" w:rsidRPr="00500AC3" w:rsidRDefault="00401A22" w:rsidP="00030948">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71EF99FE" w14:textId="77777777" w:rsidR="00401A22" w:rsidRPr="00500AC3" w:rsidRDefault="00401A22" w:rsidP="00030948">
            <w:pPr>
              <w:pStyle w:val="BodyText"/>
              <w:spacing w:after="0"/>
              <w:jc w:val="center"/>
              <w:rPr>
                <w:rFonts w:ascii="Arial" w:hAnsi="Arial" w:cs="Arial"/>
                <w:lang w:eastAsia="ja-JP"/>
              </w:rPr>
            </w:pPr>
          </w:p>
        </w:tc>
      </w:tr>
      <w:tr w:rsidR="00401A22" w14:paraId="47418F20" w14:textId="77777777" w:rsidTr="00030948">
        <w:trPr>
          <w:trHeight w:val="170"/>
        </w:trPr>
        <w:tc>
          <w:tcPr>
            <w:tcW w:w="1971" w:type="dxa"/>
            <w:shd w:val="clear" w:color="auto" w:fill="auto"/>
            <w:vAlign w:val="center"/>
          </w:tcPr>
          <w:p w14:paraId="10C40F35"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4C882F08"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2 (285.7us)</w:t>
            </w:r>
          </w:p>
        </w:tc>
        <w:tc>
          <w:tcPr>
            <w:tcW w:w="1971" w:type="dxa"/>
            <w:shd w:val="clear" w:color="auto" w:fill="auto"/>
            <w:vAlign w:val="center"/>
          </w:tcPr>
          <w:p w14:paraId="1F812A63"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1 (142.9us)</w:t>
            </w:r>
          </w:p>
        </w:tc>
        <w:tc>
          <w:tcPr>
            <w:tcW w:w="1972" w:type="dxa"/>
            <w:shd w:val="clear" w:color="auto" w:fill="auto"/>
            <w:vAlign w:val="center"/>
          </w:tcPr>
          <w:p w14:paraId="3943E1B2"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0</w:t>
            </w:r>
          </w:p>
        </w:tc>
        <w:tc>
          <w:tcPr>
            <w:tcW w:w="1972" w:type="dxa"/>
            <w:tcBorders>
              <w:tl2br w:val="single" w:sz="4" w:space="0" w:color="auto"/>
            </w:tcBorders>
            <w:shd w:val="clear" w:color="auto" w:fill="auto"/>
            <w:vAlign w:val="center"/>
          </w:tcPr>
          <w:p w14:paraId="7C36394F" w14:textId="77777777" w:rsidR="00401A22" w:rsidRPr="00500AC3" w:rsidRDefault="00401A22" w:rsidP="00030948">
            <w:pPr>
              <w:pStyle w:val="BodyText"/>
              <w:spacing w:after="0"/>
              <w:jc w:val="center"/>
              <w:rPr>
                <w:rFonts w:ascii="Arial" w:hAnsi="Arial" w:cs="Arial"/>
                <w:lang w:eastAsia="ja-JP"/>
              </w:rPr>
            </w:pPr>
          </w:p>
        </w:tc>
      </w:tr>
      <w:tr w:rsidR="00401A22" w14:paraId="63312E42" w14:textId="77777777" w:rsidTr="00030948">
        <w:trPr>
          <w:trHeight w:val="170"/>
        </w:trPr>
        <w:tc>
          <w:tcPr>
            <w:tcW w:w="1971" w:type="dxa"/>
            <w:shd w:val="clear" w:color="auto" w:fill="auto"/>
            <w:vAlign w:val="center"/>
          </w:tcPr>
          <w:p w14:paraId="391C892E"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16C7794A"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3 (160.7us)</w:t>
            </w:r>
          </w:p>
        </w:tc>
        <w:tc>
          <w:tcPr>
            <w:tcW w:w="1971" w:type="dxa"/>
            <w:shd w:val="clear" w:color="auto" w:fill="auto"/>
            <w:vAlign w:val="center"/>
          </w:tcPr>
          <w:p w14:paraId="7D84BB9C"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2 (142.9us)</w:t>
            </w:r>
          </w:p>
        </w:tc>
        <w:tc>
          <w:tcPr>
            <w:tcW w:w="1972" w:type="dxa"/>
            <w:shd w:val="clear" w:color="auto" w:fill="auto"/>
            <w:vAlign w:val="center"/>
          </w:tcPr>
          <w:p w14:paraId="681E448F" w14:textId="77777777" w:rsidR="00401A22" w:rsidRPr="00500AC3" w:rsidRDefault="00401A22" w:rsidP="00030948">
            <w:pPr>
              <w:pStyle w:val="BodyText"/>
              <w:spacing w:after="0"/>
              <w:jc w:val="center"/>
              <w:rPr>
                <w:rFonts w:ascii="Arial" w:hAnsi="Arial" w:cs="Arial"/>
                <w:lang w:eastAsia="ja-JP"/>
              </w:rPr>
            </w:pPr>
            <w:r>
              <w:rPr>
                <w:rFonts w:ascii="Arial" w:hAnsi="Arial" w:cs="Arial"/>
                <w:lang w:eastAsia="ja-JP"/>
              </w:rPr>
              <w:t>2 (178.6us)</w:t>
            </w:r>
          </w:p>
        </w:tc>
        <w:tc>
          <w:tcPr>
            <w:tcW w:w="1972" w:type="dxa"/>
            <w:shd w:val="clear" w:color="auto" w:fill="auto"/>
            <w:vAlign w:val="center"/>
          </w:tcPr>
          <w:p w14:paraId="6C390993" w14:textId="77777777" w:rsidR="00401A22" w:rsidRPr="00500AC3" w:rsidRDefault="00401A22" w:rsidP="00030948">
            <w:pPr>
              <w:pStyle w:val="BodyText"/>
              <w:spacing w:after="0"/>
              <w:jc w:val="center"/>
              <w:rPr>
                <w:rFonts w:ascii="Arial" w:hAnsi="Arial" w:cs="Arial"/>
                <w:lang w:eastAsia="ja-JP"/>
              </w:rPr>
            </w:pPr>
            <w:r w:rsidRPr="00500AC3">
              <w:rPr>
                <w:rFonts w:ascii="Arial" w:hAnsi="Arial" w:cs="Arial"/>
                <w:lang w:eastAsia="ja-JP"/>
              </w:rPr>
              <w:t>0</w:t>
            </w:r>
          </w:p>
        </w:tc>
      </w:tr>
    </w:tbl>
    <w:p w14:paraId="70C87C81" w14:textId="77777777" w:rsidR="00401A22" w:rsidRDefault="00401A22" w:rsidP="00401A22"/>
    <w:p w14:paraId="565D5B98" w14:textId="77777777" w:rsidR="00401A22" w:rsidRDefault="00401A22" w:rsidP="00401A22">
      <w:pPr>
        <w:pStyle w:val="BodyText"/>
      </w:pPr>
    </w:p>
    <w:p w14:paraId="33A0E2DF" w14:textId="253E2D9C" w:rsidR="00030948" w:rsidRDefault="00030948"/>
    <w:p w14:paraId="517D9E71" w14:textId="5B342E37" w:rsidR="00623386" w:rsidRDefault="00623386" w:rsidP="008335C3">
      <w:pPr>
        <w:jc w:val="both"/>
        <w:rPr>
          <w:rFonts w:cs="Arial"/>
        </w:rPr>
      </w:pPr>
    </w:p>
    <w:p w14:paraId="7BDDD3A9" w14:textId="77777777" w:rsidR="00623386" w:rsidRPr="008335C3" w:rsidRDefault="00623386" w:rsidP="008335C3">
      <w:pPr>
        <w:jc w:val="both"/>
        <w:rPr>
          <w:rFonts w:cs="Arial"/>
        </w:rPr>
      </w:pPr>
    </w:p>
    <w:sectPr w:rsidR="00623386" w:rsidRPr="008335C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8E786" w14:textId="77777777" w:rsidR="00C66BD9" w:rsidRDefault="00C66BD9">
      <w:r>
        <w:separator/>
      </w:r>
    </w:p>
  </w:endnote>
  <w:endnote w:type="continuationSeparator" w:id="0">
    <w:p w14:paraId="1D103EE4" w14:textId="77777777" w:rsidR="00C66BD9" w:rsidRDefault="00C6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E9CD8" w14:textId="77777777" w:rsidR="00C66BD9" w:rsidRDefault="00C66BD9">
      <w:r>
        <w:separator/>
      </w:r>
    </w:p>
  </w:footnote>
  <w:footnote w:type="continuationSeparator" w:id="0">
    <w:p w14:paraId="54337D68" w14:textId="77777777" w:rsidR="00C66BD9" w:rsidRDefault="00C66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5DEA" w14:textId="77777777" w:rsidR="00601235" w:rsidRDefault="00601235" w:rsidP="00030948">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FE409B"/>
    <w:multiLevelType w:val="multilevel"/>
    <w:tmpl w:val="860C230C"/>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8AD1F4F"/>
    <w:multiLevelType w:val="hybridMultilevel"/>
    <w:tmpl w:val="155E29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9ED232F"/>
    <w:multiLevelType w:val="hybridMultilevel"/>
    <w:tmpl w:val="D8C494D2"/>
    <w:lvl w:ilvl="0" w:tplc="C04469A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3916F9B"/>
    <w:multiLevelType w:val="hybridMultilevel"/>
    <w:tmpl w:val="DB0C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710079"/>
    <w:multiLevelType w:val="hybridMultilevel"/>
    <w:tmpl w:val="AD52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555B64"/>
    <w:multiLevelType w:val="hybridMultilevel"/>
    <w:tmpl w:val="7AE87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2917EB2"/>
    <w:multiLevelType w:val="hybridMultilevel"/>
    <w:tmpl w:val="990614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30D0326"/>
    <w:multiLevelType w:val="hybridMultilevel"/>
    <w:tmpl w:val="B1FED8BE"/>
    <w:lvl w:ilvl="0" w:tplc="0C5EDC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B77ED"/>
    <w:multiLevelType w:val="hybridMultilevel"/>
    <w:tmpl w:val="3196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E35215"/>
    <w:multiLevelType w:val="hybridMultilevel"/>
    <w:tmpl w:val="2FC4E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36CF2"/>
    <w:multiLevelType w:val="hybridMultilevel"/>
    <w:tmpl w:val="95EE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E376B9"/>
    <w:multiLevelType w:val="hybridMultilevel"/>
    <w:tmpl w:val="AE126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551D9F"/>
    <w:multiLevelType w:val="hybridMultilevel"/>
    <w:tmpl w:val="0FF2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EF26E0A"/>
    <w:multiLevelType w:val="hybridMultilevel"/>
    <w:tmpl w:val="AF721F9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6"/>
  </w:num>
  <w:num w:numId="2">
    <w:abstractNumId w:val="9"/>
  </w:num>
  <w:num w:numId="3">
    <w:abstractNumId w:val="2"/>
  </w:num>
  <w:num w:numId="4">
    <w:abstractNumId w:val="6"/>
  </w:num>
  <w:num w:numId="5">
    <w:abstractNumId w:val="17"/>
  </w:num>
  <w:num w:numId="6">
    <w:abstractNumId w:val="8"/>
  </w:num>
  <w:num w:numId="7">
    <w:abstractNumId w:val="15"/>
  </w:num>
  <w:num w:numId="8">
    <w:abstractNumId w:val="10"/>
  </w:num>
  <w:num w:numId="9">
    <w:abstractNumId w:val="16"/>
  </w:num>
  <w:num w:numId="10">
    <w:abstractNumId w:val="6"/>
  </w:num>
  <w:num w:numId="11">
    <w:abstractNumId w:val="16"/>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7"/>
  </w:num>
  <w:num w:numId="17">
    <w:abstractNumId w:val="11"/>
  </w:num>
  <w:num w:numId="18">
    <w:abstractNumId w:val="12"/>
  </w:num>
  <w:num w:numId="19">
    <w:abstractNumId w:val="14"/>
  </w:num>
  <w:num w:numId="20">
    <w:abstractNumId w:val="5"/>
  </w:num>
  <w:num w:numId="21">
    <w:abstractNumId w:val="13"/>
  </w:num>
  <w:num w:numId="22">
    <w:abstractNumId w:val="1"/>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A22"/>
    <w:rsid w:val="00030948"/>
    <w:rsid w:val="00053BE3"/>
    <w:rsid w:val="00067A23"/>
    <w:rsid w:val="00092B11"/>
    <w:rsid w:val="00157DF0"/>
    <w:rsid w:val="00163270"/>
    <w:rsid w:val="0019509E"/>
    <w:rsid w:val="001A4FB9"/>
    <w:rsid w:val="001E27DD"/>
    <w:rsid w:val="00205B09"/>
    <w:rsid w:val="00212783"/>
    <w:rsid w:val="00271868"/>
    <w:rsid w:val="002E1141"/>
    <w:rsid w:val="003330B2"/>
    <w:rsid w:val="00342C7C"/>
    <w:rsid w:val="00360023"/>
    <w:rsid w:val="003F59AA"/>
    <w:rsid w:val="003F751E"/>
    <w:rsid w:val="00401A22"/>
    <w:rsid w:val="00441954"/>
    <w:rsid w:val="00446B67"/>
    <w:rsid w:val="004477A9"/>
    <w:rsid w:val="0045475F"/>
    <w:rsid w:val="0049440B"/>
    <w:rsid w:val="004B5117"/>
    <w:rsid w:val="004C060F"/>
    <w:rsid w:val="00584610"/>
    <w:rsid w:val="005A793D"/>
    <w:rsid w:val="005F1F51"/>
    <w:rsid w:val="00601235"/>
    <w:rsid w:val="00617C5C"/>
    <w:rsid w:val="00622A36"/>
    <w:rsid w:val="00623386"/>
    <w:rsid w:val="0065116D"/>
    <w:rsid w:val="006A66D8"/>
    <w:rsid w:val="006D7FE4"/>
    <w:rsid w:val="006E544F"/>
    <w:rsid w:val="0075083D"/>
    <w:rsid w:val="0079434E"/>
    <w:rsid w:val="00802CDD"/>
    <w:rsid w:val="008335C3"/>
    <w:rsid w:val="00837DFA"/>
    <w:rsid w:val="008507EC"/>
    <w:rsid w:val="00894AB2"/>
    <w:rsid w:val="008A71A9"/>
    <w:rsid w:val="008C08DE"/>
    <w:rsid w:val="009E62E9"/>
    <w:rsid w:val="009F62F9"/>
    <w:rsid w:val="00A24A8D"/>
    <w:rsid w:val="00A25BD0"/>
    <w:rsid w:val="00A55AD8"/>
    <w:rsid w:val="00A94940"/>
    <w:rsid w:val="00A96C2C"/>
    <w:rsid w:val="00AA0E2A"/>
    <w:rsid w:val="00AA7839"/>
    <w:rsid w:val="00AC3701"/>
    <w:rsid w:val="00B10479"/>
    <w:rsid w:val="00B14AB7"/>
    <w:rsid w:val="00B17824"/>
    <w:rsid w:val="00B40EA3"/>
    <w:rsid w:val="00B41657"/>
    <w:rsid w:val="00BB500B"/>
    <w:rsid w:val="00C2075F"/>
    <w:rsid w:val="00C25D75"/>
    <w:rsid w:val="00C66BD9"/>
    <w:rsid w:val="00C95F53"/>
    <w:rsid w:val="00CB1A24"/>
    <w:rsid w:val="00D128EC"/>
    <w:rsid w:val="00D2757D"/>
    <w:rsid w:val="00D463CB"/>
    <w:rsid w:val="00D86F73"/>
    <w:rsid w:val="00DC2CF1"/>
    <w:rsid w:val="00DC4044"/>
    <w:rsid w:val="00DD1CBB"/>
    <w:rsid w:val="00DF7F94"/>
    <w:rsid w:val="00E07128"/>
    <w:rsid w:val="00ED0AA2"/>
    <w:rsid w:val="00ED50E7"/>
    <w:rsid w:val="00F25AE2"/>
    <w:rsid w:val="00F51581"/>
    <w:rsid w:val="00F67682"/>
    <w:rsid w:val="00FB06C9"/>
    <w:rsid w:val="00FB0892"/>
    <w:rsid w:val="00FB2FE4"/>
    <w:rsid w:val="00FD6E45"/>
    <w:rsid w:val="00FE4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267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1A2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401A22"/>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ing 2 3GPP"/>
    <w:basedOn w:val="Normal"/>
    <w:next w:val="BodyText"/>
    <w:link w:val="Heading2Char"/>
    <w:qFormat/>
    <w:rsid w:val="00401A22"/>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01A2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401A22"/>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semiHidden/>
    <w:unhideWhenUsed/>
    <w:qFormat/>
    <w:rsid w:val="00067A23"/>
    <w:pPr>
      <w:keepLines/>
      <w:numPr>
        <w:ilvl w:val="0"/>
        <w:numId w:val="0"/>
      </w:numPr>
      <w:overflowPunct w:val="0"/>
      <w:autoSpaceDE w:val="0"/>
      <w:autoSpaceDN w:val="0"/>
      <w:adjustRightInd w:val="0"/>
      <w:spacing w:before="120" w:after="180"/>
      <w:ind w:left="1008" w:hanging="1008"/>
      <w:outlineLvl w:val="4"/>
    </w:pPr>
    <w:rPr>
      <w:rFonts w:ascii="Arial" w:eastAsia="Times New Roman" w:hAnsi="Arial"/>
      <w:b w:val="0"/>
      <w:bCs w:val="0"/>
      <w:sz w:val="22"/>
      <w:szCs w:val="20"/>
      <w:lang w:val="en-GB"/>
    </w:rPr>
  </w:style>
  <w:style w:type="paragraph" w:styleId="Heading6">
    <w:name w:val="heading 6"/>
    <w:basedOn w:val="Normal"/>
    <w:next w:val="Normal"/>
    <w:link w:val="Heading6Char"/>
    <w:semiHidden/>
    <w:unhideWhenUsed/>
    <w:qFormat/>
    <w:rsid w:val="00067A23"/>
    <w:pPr>
      <w:keepNext/>
      <w:keepLines/>
      <w:overflowPunct w:val="0"/>
      <w:autoSpaceDE w:val="0"/>
      <w:autoSpaceDN w:val="0"/>
      <w:adjustRightInd w:val="0"/>
      <w:spacing w:before="120" w:after="180"/>
      <w:ind w:left="1152" w:hanging="1152"/>
      <w:outlineLvl w:val="5"/>
    </w:pPr>
    <w:rPr>
      <w:rFonts w:ascii="Arial" w:hAnsi="Arial"/>
      <w:szCs w:val="20"/>
      <w:lang w:val="en-GB"/>
    </w:rPr>
  </w:style>
  <w:style w:type="paragraph" w:styleId="Heading7">
    <w:name w:val="heading 7"/>
    <w:basedOn w:val="Normal"/>
    <w:next w:val="Normal"/>
    <w:link w:val="Heading7Char"/>
    <w:semiHidden/>
    <w:unhideWhenUsed/>
    <w:qFormat/>
    <w:rsid w:val="00067A23"/>
    <w:pPr>
      <w:keepNext/>
      <w:keepLines/>
      <w:overflowPunct w:val="0"/>
      <w:autoSpaceDE w:val="0"/>
      <w:autoSpaceDN w:val="0"/>
      <w:adjustRightInd w:val="0"/>
      <w:spacing w:before="120" w:after="180"/>
      <w:ind w:left="1296" w:hanging="1296"/>
      <w:outlineLvl w:val="6"/>
    </w:pPr>
    <w:rPr>
      <w:rFonts w:ascii="Arial" w:eastAsia="SimSun" w:hAnsi="Arial"/>
      <w:szCs w:val="20"/>
      <w:lang w:val="en-GB"/>
    </w:rPr>
  </w:style>
  <w:style w:type="paragraph" w:styleId="Heading8">
    <w:name w:val="heading 8"/>
    <w:basedOn w:val="Heading1"/>
    <w:next w:val="Normal"/>
    <w:link w:val="Heading8Char"/>
    <w:semiHidden/>
    <w:unhideWhenUsed/>
    <w:qFormat/>
    <w:rsid w:val="00067A23"/>
    <w:pPr>
      <w:keepLines/>
      <w:numPr>
        <w:numId w:val="0"/>
      </w:numPr>
      <w:pBdr>
        <w:top w:val="single" w:sz="12" w:space="3" w:color="auto"/>
      </w:pBdr>
      <w:tabs>
        <w:tab w:val="clear" w:pos="1134"/>
      </w:tabs>
      <w:overflowPunct w:val="0"/>
      <w:autoSpaceDE w:val="0"/>
      <w:autoSpaceDN w:val="0"/>
      <w:adjustRightInd w:val="0"/>
      <w:spacing w:after="180"/>
      <w:ind w:left="1440" w:hanging="1440"/>
      <w:outlineLvl w:val="7"/>
    </w:pPr>
    <w:rPr>
      <w:rFonts w:ascii="Arial" w:eastAsia="SimSun" w:hAnsi="Arial" w:cs="Times New Roman"/>
      <w:b w:val="0"/>
      <w:bCs w:val="0"/>
      <w:kern w:val="0"/>
      <w:sz w:val="36"/>
      <w:szCs w:val="20"/>
      <w:lang w:val="en-GB"/>
    </w:rPr>
  </w:style>
  <w:style w:type="paragraph" w:styleId="Heading9">
    <w:name w:val="heading 9"/>
    <w:basedOn w:val="Heading8"/>
    <w:next w:val="Normal"/>
    <w:link w:val="Heading9Char"/>
    <w:semiHidden/>
    <w:unhideWhenUsed/>
    <w:qFormat/>
    <w:rsid w:val="00067A23"/>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01A2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ing 2 3GPP Char"/>
    <w:basedOn w:val="DefaultParagraphFont"/>
    <w:link w:val="Heading2"/>
    <w:rsid w:val="00401A2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01A2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01A22"/>
    <w:rPr>
      <w:rFonts w:ascii="Times New Roman" w:eastAsia="MS Mincho" w:hAnsi="Times New Roman" w:cs="Times New Roman"/>
      <w:b/>
      <w:bCs/>
      <w:sz w:val="28"/>
      <w:szCs w:val="28"/>
    </w:rPr>
  </w:style>
  <w:style w:type="paragraph" w:styleId="BodyText">
    <w:name w:val="Body Text"/>
    <w:aliases w:val="bt"/>
    <w:basedOn w:val="Normal"/>
    <w:link w:val="BodyTextChar"/>
    <w:rsid w:val="00401A22"/>
    <w:pPr>
      <w:spacing w:after="120"/>
      <w:jc w:val="both"/>
    </w:pPr>
    <w:rPr>
      <w:rFonts w:eastAsia="MS Mincho"/>
    </w:rPr>
  </w:style>
  <w:style w:type="character" w:customStyle="1" w:styleId="BodyTextChar">
    <w:name w:val="Body Text Char"/>
    <w:aliases w:val="bt Char"/>
    <w:basedOn w:val="DefaultParagraphFont"/>
    <w:link w:val="BodyText"/>
    <w:rsid w:val="00401A2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01A2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1A22"/>
    <w:rPr>
      <w:rFonts w:ascii="Arial" w:eastAsia="MS Mincho" w:hAnsi="Arial" w:cs="Times New Roman"/>
      <w:b/>
      <w:sz w:val="20"/>
      <w:szCs w:val="24"/>
    </w:rPr>
  </w:style>
  <w:style w:type="paragraph" w:styleId="Caption">
    <w:name w:val="caption"/>
    <w:basedOn w:val="Normal"/>
    <w:next w:val="Normal"/>
    <w:unhideWhenUsed/>
    <w:qFormat/>
    <w:rsid w:val="00401A22"/>
    <w:pPr>
      <w:spacing w:after="200"/>
    </w:pPr>
    <w:rPr>
      <w:b/>
      <w:bCs/>
      <w:sz w:val="18"/>
      <w:szCs w:val="18"/>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401A2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401A22"/>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4B51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117"/>
    <w:rPr>
      <w:rFonts w:ascii="Segoe UI" w:eastAsia="Times New Roman" w:hAnsi="Segoe UI" w:cs="Segoe UI"/>
      <w:sz w:val="18"/>
      <w:szCs w:val="18"/>
    </w:rPr>
  </w:style>
  <w:style w:type="paragraph" w:customStyle="1" w:styleId="TAL">
    <w:name w:val="TAL"/>
    <w:basedOn w:val="Normal"/>
    <w:link w:val="TALCar"/>
    <w:qFormat/>
    <w:rsid w:val="00DD1CBB"/>
    <w:pPr>
      <w:keepNext/>
      <w:keepLines/>
    </w:pPr>
    <w:rPr>
      <w:rFonts w:ascii="Arial" w:eastAsia="Malgun Gothic" w:hAnsi="Arial"/>
      <w:sz w:val="18"/>
      <w:szCs w:val="20"/>
      <w:lang w:val="en-GB"/>
    </w:rPr>
  </w:style>
  <w:style w:type="character" w:customStyle="1" w:styleId="TALCar">
    <w:name w:val="TAL Car"/>
    <w:link w:val="TAL"/>
    <w:qFormat/>
    <w:rsid w:val="00DD1CBB"/>
    <w:rPr>
      <w:rFonts w:ascii="Arial" w:eastAsia="Malgun Gothic" w:hAnsi="Arial" w:cs="Times New Roman"/>
      <w:sz w:val="18"/>
      <w:szCs w:val="20"/>
      <w:lang w:val="en-GB"/>
    </w:rPr>
  </w:style>
  <w:style w:type="paragraph" w:customStyle="1" w:styleId="TAH">
    <w:name w:val="TAH"/>
    <w:basedOn w:val="Normal"/>
    <w:link w:val="TAHCar"/>
    <w:qFormat/>
    <w:rsid w:val="00DD1CBB"/>
    <w:pPr>
      <w:keepNext/>
      <w:keepLines/>
      <w:jc w:val="center"/>
    </w:pPr>
    <w:rPr>
      <w:rFonts w:ascii="Arial" w:eastAsia="Malgun Gothic" w:hAnsi="Arial"/>
      <w:b/>
      <w:sz w:val="18"/>
      <w:szCs w:val="20"/>
      <w:lang w:val="x-none"/>
    </w:rPr>
  </w:style>
  <w:style w:type="character" w:customStyle="1" w:styleId="TAHCar">
    <w:name w:val="TAH Car"/>
    <w:link w:val="TAH"/>
    <w:qFormat/>
    <w:locked/>
    <w:rsid w:val="00DD1CBB"/>
    <w:rPr>
      <w:rFonts w:ascii="Arial" w:eastAsia="Malgun Gothic" w:hAnsi="Arial" w:cs="Times New Roman"/>
      <w:b/>
      <w:sz w:val="18"/>
      <w:szCs w:val="20"/>
      <w:lang w:val="x-none"/>
    </w:rPr>
  </w:style>
  <w:style w:type="character" w:styleId="CommentReference">
    <w:name w:val="annotation reference"/>
    <w:basedOn w:val="DefaultParagraphFont"/>
    <w:uiPriority w:val="99"/>
    <w:semiHidden/>
    <w:unhideWhenUsed/>
    <w:rsid w:val="00B17824"/>
    <w:rPr>
      <w:sz w:val="16"/>
      <w:szCs w:val="16"/>
    </w:rPr>
  </w:style>
  <w:style w:type="paragraph" w:styleId="CommentText">
    <w:name w:val="annotation text"/>
    <w:basedOn w:val="Normal"/>
    <w:link w:val="CommentTextChar"/>
    <w:uiPriority w:val="99"/>
    <w:semiHidden/>
    <w:unhideWhenUsed/>
    <w:rsid w:val="00B17824"/>
    <w:rPr>
      <w:szCs w:val="20"/>
    </w:rPr>
  </w:style>
  <w:style w:type="character" w:customStyle="1" w:styleId="CommentTextChar">
    <w:name w:val="Comment Text Char"/>
    <w:basedOn w:val="DefaultParagraphFont"/>
    <w:link w:val="CommentText"/>
    <w:uiPriority w:val="99"/>
    <w:semiHidden/>
    <w:rsid w:val="00B1782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7824"/>
    <w:rPr>
      <w:b/>
      <w:bCs/>
    </w:rPr>
  </w:style>
  <w:style w:type="character" w:customStyle="1" w:styleId="CommentSubjectChar">
    <w:name w:val="Comment Subject Char"/>
    <w:basedOn w:val="CommentTextChar"/>
    <w:link w:val="CommentSubject"/>
    <w:uiPriority w:val="99"/>
    <w:semiHidden/>
    <w:rsid w:val="00B17824"/>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semiHidden/>
    <w:rsid w:val="00067A23"/>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067A23"/>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067A23"/>
    <w:rPr>
      <w:rFonts w:ascii="Arial" w:eastAsia="SimSun" w:hAnsi="Arial" w:cs="Times New Roman"/>
      <w:sz w:val="20"/>
      <w:szCs w:val="20"/>
      <w:lang w:val="en-GB"/>
    </w:rPr>
  </w:style>
  <w:style w:type="character" w:customStyle="1" w:styleId="Heading8Char">
    <w:name w:val="Heading 8 Char"/>
    <w:basedOn w:val="DefaultParagraphFont"/>
    <w:link w:val="Heading8"/>
    <w:semiHidden/>
    <w:rsid w:val="00067A23"/>
    <w:rPr>
      <w:rFonts w:ascii="Arial" w:eastAsia="SimSun" w:hAnsi="Arial" w:cs="Times New Roman"/>
      <w:sz w:val="36"/>
      <w:szCs w:val="20"/>
      <w:lang w:val="en-GB"/>
    </w:rPr>
  </w:style>
  <w:style w:type="character" w:customStyle="1" w:styleId="Heading9Char">
    <w:name w:val="Heading 9 Char"/>
    <w:basedOn w:val="DefaultParagraphFont"/>
    <w:link w:val="Heading9"/>
    <w:semiHidden/>
    <w:rsid w:val="00067A23"/>
    <w:rPr>
      <w:rFonts w:ascii="Arial" w:eastAsia="SimSun" w:hAnsi="Arial" w:cs="Times New Roman"/>
      <w:sz w:val="36"/>
      <w:szCs w:val="20"/>
      <w:lang w:val="en-GB"/>
    </w:rPr>
  </w:style>
  <w:style w:type="paragraph" w:styleId="Footer">
    <w:name w:val="footer"/>
    <w:basedOn w:val="Normal"/>
    <w:link w:val="FooterChar"/>
    <w:uiPriority w:val="99"/>
    <w:unhideWhenUsed/>
    <w:rsid w:val="00C2075F"/>
    <w:pPr>
      <w:tabs>
        <w:tab w:val="center" w:pos="4680"/>
        <w:tab w:val="right" w:pos="9360"/>
      </w:tabs>
    </w:pPr>
  </w:style>
  <w:style w:type="character" w:customStyle="1" w:styleId="FooterChar">
    <w:name w:val="Footer Char"/>
    <w:basedOn w:val="DefaultParagraphFont"/>
    <w:link w:val="Footer"/>
    <w:uiPriority w:val="99"/>
    <w:rsid w:val="00C2075F"/>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927130">
      <w:bodyDiv w:val="1"/>
      <w:marLeft w:val="0"/>
      <w:marRight w:val="0"/>
      <w:marTop w:val="0"/>
      <w:marBottom w:val="0"/>
      <w:divBdr>
        <w:top w:val="none" w:sz="0" w:space="0" w:color="auto"/>
        <w:left w:val="none" w:sz="0" w:space="0" w:color="auto"/>
        <w:bottom w:val="none" w:sz="0" w:space="0" w:color="auto"/>
        <w:right w:val="none" w:sz="0" w:space="0" w:color="auto"/>
      </w:divBdr>
    </w:div>
    <w:div w:id="791752473">
      <w:bodyDiv w:val="1"/>
      <w:marLeft w:val="0"/>
      <w:marRight w:val="0"/>
      <w:marTop w:val="0"/>
      <w:marBottom w:val="0"/>
      <w:divBdr>
        <w:top w:val="none" w:sz="0" w:space="0" w:color="auto"/>
        <w:left w:val="none" w:sz="0" w:space="0" w:color="auto"/>
        <w:bottom w:val="none" w:sz="0" w:space="0" w:color="auto"/>
        <w:right w:val="none" w:sz="0" w:space="0" w:color="auto"/>
      </w:divBdr>
    </w:div>
    <w:div w:id="798760370">
      <w:bodyDiv w:val="1"/>
      <w:marLeft w:val="0"/>
      <w:marRight w:val="0"/>
      <w:marTop w:val="0"/>
      <w:marBottom w:val="0"/>
      <w:divBdr>
        <w:top w:val="none" w:sz="0" w:space="0" w:color="auto"/>
        <w:left w:val="none" w:sz="0" w:space="0" w:color="auto"/>
        <w:bottom w:val="none" w:sz="0" w:space="0" w:color="auto"/>
        <w:right w:val="none" w:sz="0" w:space="0" w:color="auto"/>
      </w:divBdr>
    </w:div>
    <w:div w:id="971448375">
      <w:bodyDiv w:val="1"/>
      <w:marLeft w:val="0"/>
      <w:marRight w:val="0"/>
      <w:marTop w:val="0"/>
      <w:marBottom w:val="0"/>
      <w:divBdr>
        <w:top w:val="none" w:sz="0" w:space="0" w:color="auto"/>
        <w:left w:val="none" w:sz="0" w:space="0" w:color="auto"/>
        <w:bottom w:val="none" w:sz="0" w:space="0" w:color="auto"/>
        <w:right w:val="none" w:sz="0" w:space="0" w:color="auto"/>
      </w:divBdr>
    </w:div>
    <w:div w:id="131340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1788</Words>
  <Characters>10197</Characters>
  <Application>Microsoft Office Word</Application>
  <DocSecurity>0</DocSecurity>
  <Lines>84</Lines>
  <Paragraphs>23</Paragraphs>
  <ScaleCrop>false</ScaleCrop>
  <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2019-02-16T03:20:00Z</dcterms:created>
  <dcterms:modified xsi:type="dcterms:W3CDTF">2019-02-16T03:20:00Z</dcterms:modified>
</cp:coreProperties>
</file>